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val="0"/>
        <w:bidi w:val="0"/>
        <w:spacing w:line="560" w:lineRule="exact"/>
        <w:ind w:left="0" w:leftChars="0" w:firstLine="0" w:firstLineChars="0"/>
        <w:jc w:val="left"/>
        <w:textAlignment w:val="auto"/>
        <w:rPr>
          <w:rFonts w:hint="default" w:ascii="黑体" w:hAnsi="Times New Roman" w:eastAsia="黑体" w:cs="Times New Roman"/>
          <w:sz w:val="32"/>
          <w:szCs w:val="32"/>
          <w:lang w:val="en-US" w:eastAsia="zh-CN" w:bidi="ar-SA"/>
        </w:rPr>
      </w:pPr>
      <w:bookmarkStart w:id="0" w:name="_Toc27140"/>
      <w:r>
        <w:rPr>
          <w:rFonts w:hint="eastAsia" w:ascii="黑体" w:hAnsi="Times New Roman" w:eastAsia="黑体" w:cs="Times New Roman"/>
          <w:sz w:val="32"/>
          <w:szCs w:val="32"/>
          <w:lang w:val="en-US" w:eastAsia="zh-CN" w:bidi="ar-SA"/>
        </w:rPr>
        <w:t>海南交易〔2025〕28号</w:t>
      </w:r>
      <w:bookmarkStart w:id="26" w:name="_GoBack"/>
      <w:bookmarkEnd w:id="26"/>
      <w:r>
        <w:rPr>
          <w:rFonts w:hint="eastAsia" w:ascii="黑体" w:hAnsi="Times New Roman" w:eastAsia="黑体" w:cs="Times New Roman"/>
          <w:sz w:val="32"/>
          <w:szCs w:val="32"/>
          <w:lang w:val="en-US" w:eastAsia="zh-CN" w:bidi="ar-SA"/>
        </w:rPr>
        <w:t>附件2</w:t>
      </w:r>
    </w:p>
    <w:bookmarkEnd w:id="0"/>
    <w:p>
      <w:pPr>
        <w:pageBreakBefore w:val="0"/>
        <w:kinsoku/>
        <w:wordWrap/>
        <w:overflowPunct/>
        <w:topLinePunct w:val="0"/>
        <w:autoSpaceDE/>
        <w:autoSpaceDN/>
        <w:bidi w:val="0"/>
        <w:adjustRightInd/>
        <w:spacing w:line="560" w:lineRule="exact"/>
        <w:jc w:val="center"/>
        <w:outlineLvl w:val="0"/>
        <w:rPr>
          <w:rFonts w:hint="eastAsia" w:ascii="方正小标宋_GBK" w:hAnsi="方正小标宋_GBK" w:eastAsia="方正小标宋_GBK" w:cs="方正小标宋_GBK"/>
          <w:color w:val="auto"/>
          <w:w w:val="100"/>
          <w:sz w:val="44"/>
          <w:szCs w:val="44"/>
          <w:highlight w:val="none"/>
          <w:lang w:eastAsia="zh-CN"/>
        </w:rPr>
      </w:pPr>
      <w:bookmarkStart w:id="1" w:name="_Toc31368"/>
    </w:p>
    <w:p>
      <w:pPr>
        <w:pageBreakBefore w:val="0"/>
        <w:kinsoku/>
        <w:wordWrap/>
        <w:overflowPunct/>
        <w:topLinePunct w:val="0"/>
        <w:autoSpaceDE/>
        <w:autoSpaceDN/>
        <w:bidi w:val="0"/>
        <w:adjustRightInd/>
        <w:spacing w:line="560" w:lineRule="exact"/>
        <w:jc w:val="center"/>
        <w:outlineLvl w:val="0"/>
        <w:rPr>
          <w:rFonts w:hint="eastAsia" w:ascii="方正小标宋_GBK" w:hAnsi="方正小标宋_GBK" w:eastAsia="方正小标宋_GBK" w:cs="方正小标宋_GBK"/>
          <w:color w:val="auto"/>
          <w:w w:val="100"/>
          <w:sz w:val="44"/>
          <w:szCs w:val="44"/>
          <w:highlight w:val="none"/>
          <w:lang w:eastAsia="zh-CN"/>
        </w:rPr>
      </w:pPr>
      <w:r>
        <w:rPr>
          <w:rFonts w:hint="eastAsia" w:ascii="方正小标宋_GBK" w:hAnsi="方正小标宋_GBK" w:eastAsia="方正小标宋_GBK" w:cs="方正小标宋_GBK"/>
          <w:color w:val="auto"/>
          <w:w w:val="100"/>
          <w:sz w:val="44"/>
          <w:szCs w:val="44"/>
          <w:highlight w:val="none"/>
          <w:lang w:eastAsia="zh-CN"/>
        </w:rPr>
        <w:t>海南电力市场中长期电能量交易实施细则</w:t>
      </w:r>
      <w:bookmarkEnd w:id="1"/>
      <w:bookmarkStart w:id="2" w:name="_Toc20426"/>
      <w:bookmarkStart w:id="3" w:name="_Toc32732"/>
    </w:p>
    <w:p>
      <w:pPr>
        <w:pageBreakBefore w:val="0"/>
        <w:kinsoku/>
        <w:wordWrap/>
        <w:overflowPunct/>
        <w:topLinePunct w:val="0"/>
        <w:autoSpaceDE/>
        <w:autoSpaceDN/>
        <w:bidi w:val="0"/>
        <w:adjustRightInd/>
        <w:spacing w:line="560" w:lineRule="exact"/>
        <w:jc w:val="center"/>
        <w:outlineLvl w:val="0"/>
        <w:rPr>
          <w:rFonts w:ascii="楷体_GB2312" w:hAnsi="楷体_GB2312" w:eastAsia="楷体_GB2312" w:cs="楷体_GB2312"/>
          <w:bCs/>
          <w:sz w:val="32"/>
          <w:szCs w:val="32"/>
        </w:rPr>
      </w:pPr>
      <w:r>
        <w:rPr>
          <w:rFonts w:hint="eastAsia" w:ascii="楷体_GB2312" w:hAnsi="楷体_GB2312" w:eastAsia="楷体_GB2312" w:cs="楷体_GB2312"/>
          <w:b w:val="0"/>
          <w:bCs w:val="0"/>
          <w:color w:val="auto"/>
          <w:sz w:val="32"/>
          <w:szCs w:val="32"/>
          <w:lang w:val="en-US" w:eastAsia="zh-CN"/>
        </w:rPr>
        <w:t>（试运行3.0版）</w:t>
      </w:r>
      <w:bookmarkEnd w:id="2"/>
      <w:bookmarkEnd w:id="3"/>
    </w:p>
    <w:p>
      <w:pPr>
        <w:adjustRightInd/>
        <w:snapToGrid/>
        <w:spacing w:before="120" w:beforeLines="50" w:after="120" w:afterLines="50" w:line="560" w:lineRule="exact"/>
        <w:ind w:firstLine="0" w:firstLineChars="0"/>
        <w:jc w:val="both"/>
        <w:textAlignment w:val="center"/>
        <w:rPr>
          <w:rFonts w:hint="eastAsia" w:ascii="楷体_GB2312" w:hAnsi="方正小标宋_GBK" w:eastAsia="楷体_GB2312" w:cs="方正小标宋_GBK"/>
          <w:bCs/>
          <w:color w:val="auto"/>
          <w:kern w:val="2"/>
          <w:sz w:val="32"/>
          <w:szCs w:val="32"/>
          <w:highlight w:val="none"/>
          <w:lang w:eastAsia="zh-CN"/>
        </w:rPr>
      </w:pPr>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4" w:name="_Toc23003"/>
      <w:r>
        <w:rPr>
          <w:rFonts w:hint="eastAsia" w:ascii="黑体" w:hAnsi="黑体" w:eastAsia="黑体" w:cs="黑体"/>
          <w:b w:val="0"/>
          <w:bCs w:val="0"/>
          <w:color w:val="auto"/>
          <w:w w:val="100"/>
          <w:highlight w:val="none"/>
          <w:lang w:eastAsia="zh-CN"/>
        </w:rPr>
        <w:t>1</w:t>
      </w:r>
      <w:bookmarkStart w:id="5" w:name="1总述"/>
      <w:bookmarkEnd w:id="5"/>
      <w:bookmarkStart w:id="6" w:name="_bookmark0"/>
      <w:bookmarkEnd w:id="6"/>
      <w:r>
        <w:rPr>
          <w:rFonts w:hint="eastAsia" w:ascii="黑体" w:hAnsi="黑体" w:eastAsia="黑体" w:cs="黑体"/>
          <w:b w:val="0"/>
          <w:bCs w:val="0"/>
          <w:color w:val="auto"/>
          <w:w w:val="100"/>
          <w:highlight w:val="none"/>
          <w:lang w:eastAsia="zh-CN"/>
        </w:rPr>
        <w:t>.</w:t>
      </w:r>
      <w:r>
        <w:rPr>
          <w:rFonts w:hint="eastAsia" w:ascii="黑体" w:hAnsi="黑体" w:eastAsia="黑体" w:cs="黑体"/>
          <w:b w:val="0"/>
          <w:bCs w:val="0"/>
          <w:color w:val="auto"/>
          <w:spacing w:val="1"/>
          <w:w w:val="100"/>
          <w:highlight w:val="none"/>
          <w:lang w:eastAsia="zh-CN"/>
        </w:rPr>
        <w:t>总</w:t>
      </w:r>
      <w:bookmarkEnd w:id="4"/>
      <w:r>
        <w:rPr>
          <w:rFonts w:hint="eastAsia" w:ascii="黑体" w:hAnsi="黑体" w:eastAsia="黑体" w:cs="黑体"/>
          <w:b w:val="0"/>
          <w:bCs w:val="0"/>
          <w:color w:val="auto"/>
          <w:w w:val="100"/>
          <w:highlight w:val="none"/>
          <w:lang w:val="en-US" w:eastAsia="zh-CN"/>
        </w:rPr>
        <w:t>则</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1.1为</w:t>
      </w:r>
      <w:r>
        <w:rPr>
          <w:rFonts w:hint="eastAsia" w:ascii="仿宋_GB2312" w:hAnsi="仿宋_GB2312" w:eastAsia="仿宋_GB2312" w:cs="仿宋_GB2312"/>
          <w:color w:val="auto"/>
          <w:spacing w:val="1"/>
          <w:w w:val="100"/>
          <w:highlight w:val="none"/>
          <w:lang w:eastAsia="zh-CN"/>
        </w:rPr>
        <w:t>规</w:t>
      </w:r>
      <w:r>
        <w:rPr>
          <w:rFonts w:hint="eastAsia" w:ascii="仿宋_GB2312" w:hAnsi="仿宋_GB2312" w:eastAsia="仿宋_GB2312" w:cs="仿宋_GB2312"/>
          <w:color w:val="auto"/>
          <w:w w:val="100"/>
          <w:highlight w:val="none"/>
          <w:lang w:eastAsia="zh-CN"/>
        </w:rPr>
        <w:t>范开展海南</w:t>
      </w:r>
      <w:r>
        <w:rPr>
          <w:rFonts w:hint="eastAsia" w:ascii="仿宋_GB2312" w:hAnsi="仿宋_GB2312" w:eastAsia="仿宋_GB2312" w:cs="仿宋_GB2312"/>
          <w:color w:val="auto"/>
          <w:spacing w:val="1"/>
          <w:w w:val="100"/>
          <w:highlight w:val="none"/>
          <w:lang w:eastAsia="zh-CN"/>
        </w:rPr>
        <w:t>电</w:t>
      </w:r>
      <w:r>
        <w:rPr>
          <w:rFonts w:hint="eastAsia" w:ascii="仿宋_GB2312" w:hAnsi="仿宋_GB2312" w:eastAsia="仿宋_GB2312" w:cs="仿宋_GB2312"/>
          <w:color w:val="auto"/>
          <w:w w:val="100"/>
          <w:highlight w:val="none"/>
          <w:lang w:eastAsia="zh-CN"/>
        </w:rPr>
        <w:t>力中长</w:t>
      </w:r>
      <w:r>
        <w:rPr>
          <w:rFonts w:hint="eastAsia" w:ascii="仿宋_GB2312" w:hAnsi="仿宋_GB2312" w:eastAsia="仿宋_GB2312" w:cs="仿宋_GB2312"/>
          <w:color w:val="auto"/>
          <w:spacing w:val="1"/>
          <w:w w:val="100"/>
          <w:highlight w:val="none"/>
          <w:lang w:eastAsia="zh-CN"/>
        </w:rPr>
        <w:t>期</w:t>
      </w:r>
      <w:r>
        <w:rPr>
          <w:rFonts w:hint="eastAsia" w:ascii="仿宋_GB2312" w:hAnsi="仿宋_GB2312" w:eastAsia="仿宋_GB2312" w:cs="仿宋_GB2312"/>
          <w:color w:val="auto"/>
          <w:w w:val="100"/>
          <w:highlight w:val="none"/>
          <w:lang w:eastAsia="zh-CN"/>
        </w:rPr>
        <w:t>电</w:t>
      </w:r>
      <w:r>
        <w:rPr>
          <w:rFonts w:hint="eastAsia" w:ascii="仿宋_GB2312" w:hAnsi="仿宋_GB2312" w:eastAsia="仿宋_GB2312" w:cs="仿宋_GB2312"/>
          <w:color w:val="auto"/>
          <w:spacing w:val="1"/>
          <w:w w:val="100"/>
          <w:highlight w:val="none"/>
          <w:lang w:eastAsia="zh-CN"/>
        </w:rPr>
        <w:t>能</w:t>
      </w:r>
      <w:r>
        <w:rPr>
          <w:rFonts w:hint="eastAsia" w:ascii="仿宋_GB2312" w:hAnsi="仿宋_GB2312" w:eastAsia="仿宋_GB2312" w:cs="仿宋_GB2312"/>
          <w:color w:val="auto"/>
          <w:w w:val="100"/>
          <w:highlight w:val="none"/>
          <w:lang w:eastAsia="zh-CN"/>
        </w:rPr>
        <w:t>量交易，与南</w:t>
      </w:r>
      <w:r>
        <w:rPr>
          <w:rFonts w:hint="eastAsia" w:ascii="仿宋_GB2312" w:hAnsi="仿宋_GB2312" w:eastAsia="仿宋_GB2312" w:cs="仿宋_GB2312"/>
          <w:color w:val="auto"/>
          <w:spacing w:val="-7"/>
          <w:w w:val="100"/>
          <w:highlight w:val="none"/>
          <w:lang w:eastAsia="zh-CN"/>
        </w:rPr>
        <w:t>方</w:t>
      </w:r>
      <w:r>
        <w:rPr>
          <w:rFonts w:hint="eastAsia" w:ascii="仿宋_GB2312" w:hAnsi="仿宋_GB2312" w:eastAsia="仿宋_GB2312" w:cs="仿宋_GB2312"/>
          <w:color w:val="auto"/>
          <w:spacing w:val="1"/>
          <w:w w:val="100"/>
          <w:highlight w:val="none"/>
          <w:lang w:eastAsia="zh-CN"/>
        </w:rPr>
        <w:t>区域</w:t>
      </w:r>
      <w:r>
        <w:rPr>
          <w:rFonts w:hint="eastAsia" w:ascii="仿宋_GB2312" w:hAnsi="仿宋_GB2312" w:eastAsia="仿宋_GB2312" w:cs="仿宋_GB2312"/>
          <w:color w:val="auto"/>
          <w:w w:val="100"/>
          <w:highlight w:val="none"/>
          <w:lang w:eastAsia="zh-CN"/>
        </w:rPr>
        <w:t>电</w:t>
      </w:r>
      <w:r>
        <w:rPr>
          <w:rFonts w:hint="eastAsia" w:ascii="仿宋_GB2312" w:hAnsi="仿宋_GB2312" w:eastAsia="仿宋_GB2312" w:cs="仿宋_GB2312"/>
          <w:color w:val="auto"/>
          <w:spacing w:val="1"/>
          <w:w w:val="100"/>
          <w:highlight w:val="none"/>
          <w:lang w:eastAsia="zh-CN"/>
        </w:rPr>
        <w:t>力</w:t>
      </w:r>
      <w:r>
        <w:rPr>
          <w:rFonts w:hint="eastAsia" w:ascii="仿宋_GB2312" w:hAnsi="仿宋_GB2312" w:eastAsia="仿宋_GB2312" w:cs="仿宋_GB2312"/>
          <w:color w:val="auto"/>
          <w:w w:val="100"/>
          <w:highlight w:val="none"/>
          <w:lang w:eastAsia="zh-CN"/>
        </w:rPr>
        <w:t>现货电</w:t>
      </w:r>
      <w:r>
        <w:rPr>
          <w:rFonts w:hint="eastAsia" w:ascii="仿宋_GB2312" w:hAnsi="仿宋_GB2312" w:eastAsia="仿宋_GB2312" w:cs="仿宋_GB2312"/>
          <w:color w:val="auto"/>
          <w:spacing w:val="1"/>
          <w:w w:val="100"/>
          <w:highlight w:val="none"/>
          <w:lang w:eastAsia="zh-CN"/>
        </w:rPr>
        <w:t>能</w:t>
      </w:r>
      <w:r>
        <w:rPr>
          <w:rFonts w:hint="eastAsia" w:ascii="仿宋_GB2312" w:hAnsi="仿宋_GB2312" w:eastAsia="仿宋_GB2312" w:cs="仿宋_GB2312"/>
          <w:color w:val="auto"/>
          <w:w w:val="100"/>
          <w:highlight w:val="none"/>
          <w:lang w:eastAsia="zh-CN"/>
        </w:rPr>
        <w:t>量市场有</w:t>
      </w:r>
      <w:r>
        <w:rPr>
          <w:rFonts w:hint="eastAsia" w:ascii="仿宋_GB2312" w:hAnsi="仿宋_GB2312" w:eastAsia="仿宋_GB2312" w:cs="仿宋_GB2312"/>
          <w:color w:val="auto"/>
          <w:spacing w:val="1"/>
          <w:w w:val="100"/>
          <w:highlight w:val="none"/>
          <w:lang w:eastAsia="zh-CN"/>
        </w:rPr>
        <w:t>效</w:t>
      </w:r>
      <w:r>
        <w:rPr>
          <w:rFonts w:hint="eastAsia" w:ascii="仿宋_GB2312" w:hAnsi="仿宋_GB2312" w:eastAsia="仿宋_GB2312" w:cs="仿宋_GB2312"/>
          <w:color w:val="auto"/>
          <w:w w:val="100"/>
          <w:highlight w:val="none"/>
          <w:lang w:eastAsia="zh-CN"/>
        </w:rPr>
        <w:t>衔接，依据《</w:t>
      </w:r>
      <w:r>
        <w:rPr>
          <w:rFonts w:hint="eastAsia" w:ascii="仿宋_GB2312" w:hAnsi="仿宋_GB2312" w:eastAsia="仿宋_GB2312" w:cs="仿宋_GB2312"/>
          <w:color w:val="auto"/>
          <w:w w:val="100"/>
          <w:highlight w:val="none"/>
          <w:lang w:val="en-US" w:eastAsia="zh-CN"/>
        </w:rPr>
        <w:t>海南电力中长期交易规则</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w w:val="100"/>
          <w:highlight w:val="none"/>
          <w:lang w:val="en-US" w:eastAsia="zh-CN"/>
        </w:rPr>
        <w:t>南方监能市场〔2022〕92号）</w:t>
      </w:r>
      <w:r>
        <w:rPr>
          <w:rFonts w:hint="eastAsia" w:ascii="仿宋_GB2312" w:hAnsi="仿宋_GB2312" w:eastAsia="仿宋_GB2312" w:cs="仿宋_GB2312"/>
          <w:color w:val="auto"/>
          <w:w w:val="100"/>
          <w:highlight w:val="none"/>
          <w:lang w:eastAsia="zh-CN"/>
        </w:rPr>
        <w:t>等规定，制定本实施</w:t>
      </w:r>
      <w:r>
        <w:rPr>
          <w:rFonts w:hint="eastAsia" w:ascii="仿宋_GB2312" w:hAnsi="仿宋_GB2312" w:eastAsia="仿宋_GB2312" w:cs="仿宋_GB2312"/>
          <w:color w:val="auto"/>
          <w:spacing w:val="0"/>
          <w:w w:val="100"/>
          <w:highlight w:val="none"/>
          <w:lang w:eastAsia="zh-CN"/>
        </w:rPr>
        <w:t>细</w:t>
      </w:r>
      <w:r>
        <w:rPr>
          <w:rFonts w:hint="eastAsia" w:ascii="仿宋_GB2312" w:hAnsi="仿宋_GB2312" w:eastAsia="仿宋_GB2312" w:cs="仿宋_GB2312"/>
          <w:color w:val="auto"/>
          <w:w w:val="100"/>
          <w:highlight w:val="none"/>
          <w:lang w:eastAsia="zh-CN"/>
        </w:rPr>
        <w:t>则。</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4" w:firstLineChars="200"/>
        <w:jc w:val="both"/>
        <w:textAlignment w:val="auto"/>
        <w:outlineLvl w:val="9"/>
        <w:rPr>
          <w:rFonts w:hint="default"/>
          <w:color w:val="auto"/>
          <w:w w:val="100"/>
          <w:highlight w:val="none"/>
          <w:lang w:val="en-US" w:eastAsia="zh-CN"/>
        </w:rPr>
      </w:pPr>
      <w:bookmarkStart w:id="7" w:name="_bookmark1"/>
      <w:bookmarkEnd w:id="7"/>
      <w:bookmarkStart w:id="8" w:name="2适用范围"/>
      <w:bookmarkEnd w:id="8"/>
      <w:r>
        <w:rPr>
          <w:rFonts w:hint="eastAsia" w:ascii="仿宋_GB2312" w:hAnsi="仿宋_GB2312" w:eastAsia="仿宋_GB2312" w:cs="仿宋_GB2312"/>
          <w:color w:val="auto"/>
          <w:spacing w:val="1"/>
          <w:w w:val="100"/>
          <w:highlight w:val="none"/>
          <w:lang w:eastAsia="zh-CN"/>
        </w:rPr>
        <w:t>1.2</w:t>
      </w:r>
      <w:r>
        <w:rPr>
          <w:rFonts w:hint="eastAsia" w:ascii="仿宋_GB2312" w:hAnsi="仿宋_GB2312" w:eastAsia="仿宋_GB2312" w:cs="仿宋_GB2312"/>
          <w:color w:val="auto"/>
          <w:w w:val="100"/>
          <w:highlight w:val="none"/>
          <w:lang w:eastAsia="zh-CN"/>
        </w:rPr>
        <w:t>本细则所称南方区域是指广东、广西、云南、贵州、海南五省（区）；中长期电能量交易是指交易标的周期为日以上的电能量交易，包括年度（</w:t>
      </w:r>
      <w:r>
        <w:rPr>
          <w:rFonts w:hint="eastAsia" w:ascii="仿宋_GB2312" w:hAnsi="仿宋_GB2312" w:eastAsia="仿宋_GB2312" w:cs="仿宋_GB2312"/>
          <w:color w:val="auto"/>
          <w:w w:val="100"/>
          <w:highlight w:val="none"/>
          <w:lang w:val="en-US" w:eastAsia="zh-CN"/>
        </w:rPr>
        <w:t>多年</w:t>
      </w:r>
      <w:r>
        <w:rPr>
          <w:rFonts w:hint="eastAsia" w:ascii="仿宋_GB2312" w:hAnsi="仿宋_GB2312" w:eastAsia="仿宋_GB2312" w:cs="仿宋_GB2312"/>
          <w:color w:val="auto"/>
          <w:w w:val="100"/>
          <w:highlight w:val="none"/>
          <w:lang w:eastAsia="zh-CN"/>
        </w:rPr>
        <w:t>）、季度、月度（</w:t>
      </w:r>
      <w:r>
        <w:rPr>
          <w:rFonts w:hint="eastAsia" w:ascii="仿宋_GB2312" w:hAnsi="仿宋_GB2312" w:eastAsia="仿宋_GB2312" w:cs="仿宋_GB2312"/>
          <w:color w:val="auto"/>
          <w:w w:val="100"/>
          <w:highlight w:val="none"/>
          <w:lang w:val="en-US" w:eastAsia="zh-CN"/>
        </w:rPr>
        <w:t>多月</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w w:val="100"/>
          <w:kern w:val="0"/>
          <w:highlight w:val="none"/>
          <w:lang w:eastAsia="zh-CN"/>
        </w:rPr>
        <w:t>周（</w:t>
      </w:r>
      <w:r>
        <w:rPr>
          <w:rFonts w:hint="eastAsia" w:ascii="仿宋_GB2312" w:hAnsi="仿宋_GB2312" w:eastAsia="仿宋_GB2312" w:cs="仿宋_GB2312"/>
          <w:color w:val="auto"/>
          <w:w w:val="100"/>
          <w:kern w:val="0"/>
          <w:highlight w:val="none"/>
          <w:lang w:val="en-US" w:eastAsia="zh-CN"/>
        </w:rPr>
        <w:t>多日</w:t>
      </w:r>
      <w:r>
        <w:rPr>
          <w:rFonts w:hint="eastAsia" w:ascii="仿宋_GB2312" w:hAnsi="仿宋_GB2312" w:eastAsia="仿宋_GB2312" w:cs="仿宋_GB2312"/>
          <w:color w:val="auto"/>
          <w:w w:val="100"/>
          <w:kern w:val="0"/>
          <w:highlight w:val="none"/>
          <w:lang w:eastAsia="zh-CN"/>
        </w:rPr>
        <w:t>）</w:t>
      </w:r>
      <w:r>
        <w:rPr>
          <w:rFonts w:hint="eastAsia" w:ascii="仿宋_GB2312" w:hAnsi="仿宋_GB2312" w:eastAsia="仿宋_GB2312" w:cs="仿宋_GB2312"/>
          <w:color w:val="auto"/>
          <w:w w:val="100"/>
          <w:highlight w:val="none"/>
          <w:lang w:eastAsia="zh-CN"/>
        </w:rPr>
        <w:t>电能量交易。</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1.3本细则按照“安全可靠、竞争有序、低碳绿色、统一规范、协同高效”的原则制定。</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1.4市场成员应严格遵守本细则，自觉自律，不得操纵市场价格、损害其他经营主体的合法权益。任何单位和个人不得非法干预市场正常运行。</w:t>
      </w:r>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9" w:name="_Toc526"/>
      <w:r>
        <w:rPr>
          <w:rFonts w:hint="eastAsia" w:ascii="黑体" w:hAnsi="黑体" w:eastAsia="黑体" w:cs="黑体"/>
          <w:b w:val="0"/>
          <w:bCs w:val="0"/>
          <w:color w:val="auto"/>
          <w:w w:val="100"/>
          <w:highlight w:val="none"/>
          <w:lang w:eastAsia="zh-CN"/>
        </w:rPr>
        <w:t>2.</w:t>
      </w:r>
      <w:bookmarkEnd w:id="9"/>
      <w:r>
        <w:rPr>
          <w:rFonts w:hint="eastAsia" w:ascii="黑体" w:hAnsi="黑体" w:eastAsia="黑体" w:cs="黑体"/>
          <w:b w:val="0"/>
          <w:bCs w:val="0"/>
          <w:color w:val="auto"/>
          <w:spacing w:val="1"/>
          <w:w w:val="100"/>
          <w:highlight w:val="none"/>
          <w:lang w:eastAsia="zh-CN"/>
        </w:rPr>
        <w:t>经营主体</w:t>
      </w:r>
    </w:p>
    <w:p>
      <w:pPr>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sz w:val="32"/>
          <w:szCs w:val="32"/>
          <w:highlight w:val="none"/>
          <w:lang w:eastAsia="zh-CN"/>
        </w:rPr>
      </w:pPr>
      <w:r>
        <w:rPr>
          <w:rFonts w:hint="eastAsia" w:ascii="仿宋_GB2312" w:hAnsi="仿宋_GB2312" w:eastAsia="仿宋_GB2312" w:cs="仿宋_GB2312"/>
          <w:color w:val="auto"/>
          <w:w w:val="100"/>
          <w:sz w:val="32"/>
          <w:szCs w:val="32"/>
          <w:highlight w:val="none"/>
          <w:lang w:eastAsia="zh-CN"/>
        </w:rPr>
        <w:t>2.1参与海南电力市场中长期电能量交易的经营主体包括符合准入条件，并完成准入注册的各类电力用户、售电公司、发电企业。根据市场发展情况，逐步引入</w:t>
      </w:r>
      <w:r>
        <w:rPr>
          <w:rFonts w:hint="eastAsia" w:ascii="仿宋_GB2312" w:hAnsi="仿宋_GB2312" w:eastAsia="仿宋_GB2312" w:cs="仿宋_GB2312"/>
          <w:color w:val="auto"/>
          <w:w w:val="100"/>
          <w:sz w:val="32"/>
          <w:szCs w:val="32"/>
          <w:highlight w:val="none"/>
          <w:lang w:val="en-US" w:eastAsia="zh-CN"/>
        </w:rPr>
        <w:t>新型经营主体</w:t>
      </w:r>
      <w:r>
        <w:rPr>
          <w:rFonts w:hint="eastAsia" w:ascii="仿宋_GB2312" w:hAnsi="仿宋_GB2312" w:eastAsia="仿宋_GB2312" w:cs="仿宋_GB2312"/>
          <w:color w:val="auto"/>
          <w:w w:val="100"/>
          <w:sz w:val="32"/>
          <w:szCs w:val="32"/>
          <w:highlight w:val="none"/>
          <w:lang w:eastAsia="zh-CN"/>
        </w:rPr>
        <w:t>。</w:t>
      </w:r>
    </w:p>
    <w:p>
      <w:pPr>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sz w:val="32"/>
          <w:szCs w:val="32"/>
          <w:highlight w:val="none"/>
          <w:lang w:eastAsia="zh-CN"/>
        </w:rPr>
      </w:pPr>
      <w:r>
        <w:rPr>
          <w:rFonts w:hint="eastAsia" w:ascii="仿宋_GB2312" w:hAnsi="仿宋_GB2312" w:eastAsia="仿宋_GB2312" w:cs="仿宋_GB2312"/>
          <w:color w:val="auto"/>
          <w:w w:val="100"/>
          <w:sz w:val="32"/>
          <w:szCs w:val="32"/>
          <w:highlight w:val="none"/>
          <w:lang w:eastAsia="zh-CN"/>
        </w:rPr>
        <w:t>2.2海南省内经营主体在广州电力交易中心履行注册登记手续后，即获得跨省电力中长期交易资格。各经营主体在履行省</w:t>
      </w:r>
      <w:r>
        <w:rPr>
          <w:rFonts w:hint="eastAsia" w:ascii="仿宋_GB2312" w:hAnsi="仿宋_GB2312" w:eastAsia="仿宋_GB2312" w:cs="仿宋_GB2312"/>
          <w:color w:val="auto"/>
          <w:w w:val="100"/>
          <w:sz w:val="32"/>
          <w:szCs w:val="32"/>
          <w:highlight w:val="none"/>
          <w:lang w:val="en-US" w:eastAsia="zh-CN"/>
        </w:rPr>
        <w:t>级</w:t>
      </w:r>
      <w:r>
        <w:rPr>
          <w:rFonts w:hint="eastAsia" w:ascii="仿宋_GB2312" w:hAnsi="仿宋_GB2312" w:eastAsia="仿宋_GB2312" w:cs="仿宋_GB2312"/>
          <w:color w:val="auto"/>
          <w:w w:val="100"/>
          <w:sz w:val="32"/>
          <w:szCs w:val="32"/>
          <w:highlight w:val="none"/>
          <w:lang w:eastAsia="zh-CN"/>
        </w:rPr>
        <w:t>能源主管部门明确的保供应、保安全、保消纳要求前提下，可自主选择参与跨省电力中长期交易。</w:t>
      </w:r>
    </w:p>
    <w:p>
      <w:pPr>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sz w:val="32"/>
          <w:szCs w:val="32"/>
          <w:highlight w:val="none"/>
          <w:lang w:eastAsia="zh-CN"/>
        </w:rPr>
      </w:pPr>
      <w:r>
        <w:rPr>
          <w:rFonts w:hint="eastAsia" w:ascii="仿宋_GB2312" w:hAnsi="仿宋_GB2312" w:eastAsia="仿宋_GB2312" w:cs="仿宋_GB2312"/>
          <w:color w:val="auto"/>
          <w:w w:val="100"/>
          <w:sz w:val="32"/>
          <w:szCs w:val="32"/>
          <w:highlight w:val="none"/>
          <w:lang w:eastAsia="zh-CN"/>
        </w:rPr>
        <w:t>2.3现阶段电网企业代理暂未直接从电力市场购电和已直接参与电力市场交易又退出的工商业用户，依据海南省电网企业代理购电相关规定参与购售电交易。</w:t>
      </w:r>
    </w:p>
    <w:p>
      <w:pPr>
        <w:pStyle w:val="7"/>
        <w:pageBreakBefore w:val="0"/>
        <w:kinsoku/>
        <w:wordWrap/>
        <w:overflowPunct/>
        <w:topLinePunct w:val="0"/>
        <w:autoSpaceDE/>
        <w:autoSpaceDN/>
        <w:bidi w:val="0"/>
        <w:adjustRightInd/>
        <w:spacing w:line="60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val="en-US" w:eastAsia="zh-CN"/>
        </w:rPr>
        <w:t>2.4</w:t>
      </w:r>
      <w:r>
        <w:rPr>
          <w:rFonts w:hint="eastAsia" w:ascii="仿宋_GB2312" w:hAnsi="仿宋_GB2312" w:eastAsia="仿宋_GB2312" w:cs="仿宋_GB2312"/>
          <w:color w:val="auto"/>
          <w:w w:val="100"/>
          <w:highlight w:val="none"/>
          <w:lang w:eastAsia="zh-CN"/>
        </w:rPr>
        <w:t>完成注册的电力用户</w:t>
      </w:r>
      <w:r>
        <w:rPr>
          <w:rFonts w:hint="eastAsia" w:ascii="仿宋_GB2312" w:hAnsi="仿宋_GB2312" w:eastAsia="仿宋_GB2312" w:cs="仿宋_GB2312"/>
          <w:color w:val="auto"/>
          <w:w w:val="100"/>
          <w:highlight w:val="none"/>
          <w:lang w:val="en-US" w:eastAsia="zh-CN"/>
        </w:rPr>
        <w:t>须</w:t>
      </w:r>
      <w:r>
        <w:rPr>
          <w:rFonts w:hint="eastAsia" w:ascii="仿宋_GB2312" w:hAnsi="仿宋_GB2312" w:eastAsia="仿宋_GB2312" w:cs="仿宋_GB2312"/>
          <w:color w:val="auto"/>
          <w:w w:val="100"/>
          <w:highlight w:val="none"/>
          <w:lang w:eastAsia="zh-CN"/>
        </w:rPr>
        <w:t>按自然年选择参与批发或零售市场交易，一经选定，当年内不可修改。</w:t>
      </w:r>
    </w:p>
    <w:p>
      <w:pPr>
        <w:pStyle w:val="7"/>
        <w:pageBreakBefore w:val="0"/>
        <w:kinsoku/>
        <w:wordWrap/>
        <w:overflowPunct/>
        <w:topLinePunct w:val="0"/>
        <w:autoSpaceDE/>
        <w:autoSpaceDN/>
        <w:bidi w:val="0"/>
        <w:adjustRightInd/>
        <w:spacing w:line="600" w:lineRule="exact"/>
        <w:ind w:left="0" w:right="0" w:firstLine="640" w:firstLineChars="200"/>
        <w:jc w:val="both"/>
        <w:textAlignment w:val="auto"/>
        <w:outlineLvl w:val="9"/>
        <w:rPr>
          <w:rFonts w:hint="default" w:ascii="仿宋_GB2312" w:hAnsi="仿宋_GB2312" w:eastAsia="仿宋_GB2312" w:cs="仿宋_GB2312"/>
          <w:strike/>
          <w:dstrike w:val="0"/>
          <w:color w:val="auto"/>
          <w:w w:val="100"/>
          <w:highlight w:val="none"/>
          <w:lang w:val="en-US" w:eastAsia="zh-CN"/>
        </w:rPr>
      </w:pPr>
      <w:r>
        <w:rPr>
          <w:rFonts w:hint="eastAsia" w:ascii="仿宋_GB2312" w:hAnsi="仿宋_GB2312" w:eastAsia="仿宋_GB2312" w:cs="仿宋_GB2312"/>
          <w:color w:val="auto"/>
          <w:w w:val="100"/>
          <w:highlight w:val="none"/>
          <w:lang w:val="en-US" w:eastAsia="zh-CN"/>
        </w:rPr>
        <w:t>2.5</w:t>
      </w:r>
      <w:r>
        <w:rPr>
          <w:rFonts w:hint="default" w:ascii="仿宋_GB2312" w:hAnsi="仿宋_GB2312" w:eastAsia="仿宋_GB2312" w:cs="仿宋_GB2312"/>
          <w:color w:val="auto"/>
          <w:w w:val="100"/>
          <w:highlight w:val="none"/>
          <w:lang w:eastAsia="zh-CN"/>
        </w:rPr>
        <w:t>电力用户在同一个时间周期内不得同时参加批发交易和零售交易。由于售电公司退市影响</w:t>
      </w:r>
      <w:r>
        <w:rPr>
          <w:rFonts w:hint="eastAsia" w:ascii="仿宋_GB2312" w:hAnsi="仿宋_GB2312" w:eastAsia="仿宋_GB2312" w:cs="仿宋_GB2312"/>
          <w:color w:val="auto"/>
          <w:w w:val="100"/>
          <w:highlight w:val="none"/>
          <w:lang w:val="en-US" w:eastAsia="zh-CN"/>
        </w:rPr>
        <w:t>其代理的</w:t>
      </w:r>
      <w:r>
        <w:rPr>
          <w:rFonts w:hint="default" w:ascii="仿宋_GB2312" w:hAnsi="仿宋_GB2312" w:eastAsia="仿宋_GB2312" w:cs="仿宋_GB2312"/>
          <w:color w:val="auto"/>
          <w:w w:val="100"/>
          <w:highlight w:val="none"/>
          <w:lang w:eastAsia="zh-CN"/>
        </w:rPr>
        <w:t>电力用户参与市场购电时，由</w:t>
      </w:r>
      <w:r>
        <w:rPr>
          <w:rFonts w:hint="eastAsia" w:ascii="仿宋_GB2312" w:hAnsi="仿宋_GB2312" w:eastAsia="仿宋_GB2312" w:cs="仿宋_GB2312"/>
          <w:color w:val="auto"/>
          <w:w w:val="100"/>
          <w:highlight w:val="none"/>
          <w:lang w:val="en-US" w:eastAsia="zh-CN"/>
        </w:rPr>
        <w:t>海南电力</w:t>
      </w:r>
      <w:r>
        <w:rPr>
          <w:rFonts w:hint="default" w:ascii="仿宋_GB2312" w:hAnsi="仿宋_GB2312" w:eastAsia="仿宋_GB2312" w:cs="仿宋_GB2312"/>
          <w:color w:val="auto"/>
          <w:w w:val="100"/>
          <w:highlight w:val="none"/>
          <w:lang w:eastAsia="zh-CN"/>
        </w:rPr>
        <w:t>交易中心组织启动保底售电服务，相关要求按</w:t>
      </w:r>
      <w:r>
        <w:rPr>
          <w:rFonts w:hint="eastAsia" w:ascii="仿宋_GB2312" w:hAnsi="仿宋_GB2312" w:eastAsia="仿宋_GB2312" w:cs="仿宋_GB2312"/>
          <w:color w:val="auto"/>
          <w:w w:val="100"/>
          <w:highlight w:val="none"/>
          <w:lang w:val="en-US" w:eastAsia="zh-CN"/>
        </w:rPr>
        <w:t>保底售电有关规定</w:t>
      </w:r>
      <w:r>
        <w:rPr>
          <w:rFonts w:hint="default" w:ascii="仿宋_GB2312" w:hAnsi="仿宋_GB2312" w:eastAsia="仿宋_GB2312" w:cs="仿宋_GB2312"/>
          <w:color w:val="auto"/>
          <w:w w:val="100"/>
          <w:highlight w:val="none"/>
          <w:lang w:eastAsia="zh-CN"/>
        </w:rPr>
        <w:t>执行</w:t>
      </w:r>
      <w:r>
        <w:rPr>
          <w:rFonts w:hint="eastAsia" w:ascii="仿宋_GB2312" w:hAnsi="仿宋_GB2312" w:eastAsia="仿宋_GB2312" w:cs="仿宋_GB2312"/>
          <w:color w:val="auto"/>
          <w:w w:val="100"/>
          <w:highlight w:val="none"/>
          <w:lang w:eastAsia="zh-CN"/>
        </w:rPr>
        <w:t>。</w:t>
      </w:r>
    </w:p>
    <w:p>
      <w:pPr>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sz w:val="32"/>
          <w:szCs w:val="32"/>
          <w:highlight w:val="none"/>
          <w:lang w:eastAsia="zh-CN"/>
        </w:rPr>
      </w:pPr>
      <w:r>
        <w:rPr>
          <w:rFonts w:hint="eastAsia" w:ascii="仿宋_GB2312" w:hAnsi="仿宋_GB2312" w:eastAsia="仿宋_GB2312" w:cs="仿宋_GB2312"/>
          <w:color w:val="auto"/>
          <w:w w:val="100"/>
          <w:sz w:val="32"/>
          <w:szCs w:val="32"/>
          <w:highlight w:val="none"/>
          <w:lang w:eastAsia="zh-CN"/>
        </w:rPr>
        <w:t>2.6经营主体原则上不得自行退出市场；符合国家和</w:t>
      </w:r>
      <w:r>
        <w:rPr>
          <w:rFonts w:hint="eastAsia" w:ascii="仿宋_GB2312" w:hAnsi="仿宋_GB2312" w:eastAsia="仿宋_GB2312" w:cs="仿宋_GB2312"/>
          <w:color w:val="auto"/>
          <w:w w:val="100"/>
          <w:sz w:val="32"/>
          <w:szCs w:val="32"/>
          <w:highlight w:val="none"/>
          <w:lang w:val="en-US" w:eastAsia="zh-CN"/>
        </w:rPr>
        <w:t>海南省</w:t>
      </w:r>
      <w:r>
        <w:rPr>
          <w:rFonts w:hint="eastAsia" w:ascii="仿宋_GB2312" w:hAnsi="仿宋_GB2312" w:eastAsia="仿宋_GB2312" w:cs="仿宋_GB2312"/>
          <w:color w:val="auto"/>
          <w:w w:val="100"/>
          <w:sz w:val="32"/>
          <w:szCs w:val="32"/>
          <w:highlight w:val="none"/>
          <w:lang w:eastAsia="zh-CN"/>
        </w:rPr>
        <w:t>政府</w:t>
      </w:r>
      <w:r>
        <w:rPr>
          <w:rFonts w:hint="eastAsia" w:ascii="仿宋_GB2312" w:hAnsi="仿宋_GB2312" w:eastAsia="仿宋_GB2312" w:cs="仿宋_GB2312"/>
          <w:color w:val="auto"/>
          <w:w w:val="100"/>
          <w:sz w:val="32"/>
          <w:szCs w:val="32"/>
          <w:highlight w:val="none"/>
          <w:lang w:val="en-US" w:eastAsia="zh-CN"/>
        </w:rPr>
        <w:t>主管部门</w:t>
      </w:r>
      <w:r>
        <w:rPr>
          <w:rFonts w:hint="eastAsia" w:ascii="仿宋_GB2312" w:hAnsi="仿宋_GB2312" w:eastAsia="仿宋_GB2312" w:cs="仿宋_GB2312"/>
          <w:color w:val="auto"/>
          <w:w w:val="100"/>
          <w:sz w:val="32"/>
          <w:szCs w:val="32"/>
          <w:highlight w:val="none"/>
          <w:lang w:eastAsia="zh-CN"/>
        </w:rPr>
        <w:t>规定情形的，妥善处理其全部合同义务后可按规定办理退市手续。无正当理由退市的经营主体，原则上</w:t>
      </w:r>
      <w:r>
        <w:rPr>
          <w:rFonts w:hint="eastAsia" w:ascii="仿宋_GB2312" w:hAnsi="仿宋_GB2312" w:eastAsia="仿宋_GB2312" w:cs="仿宋_GB2312"/>
          <w:color w:val="auto"/>
          <w:w w:val="100"/>
          <w:sz w:val="32"/>
          <w:szCs w:val="32"/>
          <w:highlight w:val="none"/>
          <w:lang w:val="en-US" w:eastAsia="zh-CN"/>
        </w:rPr>
        <w:t>该主体</w:t>
      </w:r>
      <w:r>
        <w:rPr>
          <w:rFonts w:hint="eastAsia" w:ascii="仿宋_GB2312" w:hAnsi="仿宋_GB2312" w:eastAsia="仿宋_GB2312" w:cs="仿宋_GB2312"/>
          <w:color w:val="auto"/>
          <w:w w:val="100"/>
          <w:sz w:val="32"/>
          <w:szCs w:val="32"/>
          <w:highlight w:val="none"/>
          <w:lang w:eastAsia="zh-CN"/>
        </w:rPr>
        <w:t>及其法定代表人三年内均不得进入海南电力市场。</w:t>
      </w:r>
    </w:p>
    <w:p>
      <w:pPr>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sz w:val="32"/>
          <w:szCs w:val="32"/>
          <w:highlight w:val="none"/>
          <w:lang w:eastAsia="zh-CN"/>
        </w:rPr>
      </w:pPr>
      <w:r>
        <w:rPr>
          <w:rFonts w:hint="eastAsia" w:ascii="仿宋_GB2312" w:hAnsi="仿宋_GB2312" w:eastAsia="仿宋_GB2312" w:cs="仿宋_GB2312"/>
          <w:color w:val="auto"/>
          <w:w w:val="100"/>
          <w:sz w:val="32"/>
          <w:szCs w:val="32"/>
          <w:highlight w:val="none"/>
          <w:lang w:eastAsia="zh-CN"/>
        </w:rPr>
        <w:t>2.7海南电力交易中心按照“谁运营、谁监控，谁运营、谁防范”的原则，根据国家和政府有关规定履行市场运营监控和风险防控职责，采取有效风险防控措施。</w:t>
      </w:r>
    </w:p>
    <w:p>
      <w:pPr>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sz w:val="32"/>
          <w:szCs w:val="32"/>
          <w:highlight w:val="none"/>
          <w:lang w:eastAsia="zh-CN"/>
        </w:rPr>
      </w:pPr>
      <w:r>
        <w:rPr>
          <w:rFonts w:hint="eastAsia" w:ascii="仿宋_GB2312" w:hAnsi="仿宋_GB2312" w:eastAsia="仿宋_GB2312" w:cs="仿宋_GB2312"/>
          <w:color w:val="auto"/>
          <w:w w:val="100"/>
          <w:sz w:val="32"/>
          <w:szCs w:val="32"/>
          <w:highlight w:val="none"/>
          <w:lang w:eastAsia="zh-CN"/>
        </w:rPr>
        <w:t>2.8海南电力交易中心根据南方区域统一的经营主体信用评价制度，统一</w:t>
      </w:r>
      <w:r>
        <w:rPr>
          <w:rFonts w:hint="eastAsia" w:ascii="仿宋_GB2312" w:hAnsi="仿宋_GB2312" w:eastAsia="仿宋_GB2312" w:cs="仿宋_GB2312"/>
          <w:color w:val="auto"/>
          <w:w w:val="100"/>
          <w:sz w:val="32"/>
          <w:szCs w:val="32"/>
          <w:highlight w:val="none"/>
          <w:lang w:val="en-US" w:eastAsia="zh-CN"/>
        </w:rPr>
        <w:t>各类</w:t>
      </w:r>
      <w:r>
        <w:rPr>
          <w:rFonts w:hint="eastAsia" w:ascii="仿宋_GB2312" w:hAnsi="仿宋_GB2312" w:eastAsia="仿宋_GB2312" w:cs="仿宋_GB2312"/>
          <w:color w:val="auto"/>
          <w:w w:val="100"/>
          <w:sz w:val="32"/>
          <w:szCs w:val="32"/>
          <w:highlight w:val="none"/>
          <w:lang w:eastAsia="zh-CN"/>
        </w:rPr>
        <w:t>经营主体信用等级评价标准，定期评价</w:t>
      </w:r>
      <w:r>
        <w:rPr>
          <w:rFonts w:hint="eastAsia" w:ascii="仿宋_GB2312" w:hAnsi="仿宋_GB2312" w:eastAsia="仿宋_GB2312" w:cs="仿宋_GB2312"/>
          <w:color w:val="auto"/>
          <w:w w:val="100"/>
          <w:sz w:val="32"/>
          <w:szCs w:val="32"/>
          <w:highlight w:val="none"/>
          <w:lang w:val="en-US" w:eastAsia="zh-CN"/>
        </w:rPr>
        <w:t>各类</w:t>
      </w:r>
      <w:r>
        <w:rPr>
          <w:rFonts w:hint="eastAsia" w:ascii="仿宋_GB2312" w:hAnsi="仿宋_GB2312" w:eastAsia="仿宋_GB2312" w:cs="仿宋_GB2312"/>
          <w:color w:val="auto"/>
          <w:w w:val="100"/>
          <w:sz w:val="32"/>
          <w:szCs w:val="32"/>
          <w:highlight w:val="none"/>
          <w:lang w:eastAsia="zh-CN"/>
        </w:rPr>
        <w:t>经营主体信用状况，</w:t>
      </w:r>
      <w:r>
        <w:rPr>
          <w:rFonts w:hint="eastAsia" w:ascii="仿宋_GB2312" w:hAnsi="仿宋_GB2312" w:eastAsia="仿宋_GB2312" w:cs="仿宋_GB2312"/>
          <w:color w:val="auto"/>
          <w:w w:val="100"/>
          <w:sz w:val="32"/>
          <w:szCs w:val="32"/>
          <w:highlight w:val="none"/>
          <w:lang w:val="en-US" w:eastAsia="zh-CN"/>
        </w:rPr>
        <w:t>信用状况的应用按信用评价制度等有关规定执行</w:t>
      </w:r>
      <w:r>
        <w:rPr>
          <w:rFonts w:hint="eastAsia" w:ascii="仿宋_GB2312" w:hAnsi="仿宋_GB2312" w:eastAsia="仿宋_GB2312" w:cs="仿宋_GB2312"/>
          <w:color w:val="auto"/>
          <w:w w:val="100"/>
          <w:sz w:val="32"/>
          <w:szCs w:val="32"/>
          <w:highlight w:val="none"/>
          <w:lang w:eastAsia="zh-CN"/>
        </w:rPr>
        <w:t>。</w:t>
      </w:r>
    </w:p>
    <w:p>
      <w:pPr>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sz w:val="32"/>
          <w:szCs w:val="32"/>
          <w:highlight w:val="none"/>
          <w:lang w:eastAsia="zh-CN"/>
        </w:rPr>
      </w:pPr>
      <w:r>
        <w:rPr>
          <w:rFonts w:hint="eastAsia" w:ascii="仿宋_GB2312" w:hAnsi="仿宋_GB2312" w:eastAsia="仿宋_GB2312" w:cs="仿宋_GB2312"/>
          <w:color w:val="auto"/>
          <w:w w:val="100"/>
          <w:sz w:val="32"/>
          <w:szCs w:val="32"/>
          <w:highlight w:val="none"/>
          <w:lang w:eastAsia="zh-CN"/>
        </w:rPr>
        <w:t>2.9海南电力交易中心负责做好电力交易相关数据存储，确保信用管理基础数据和信息可查询、可追溯，接受经营主体的监督与质询，相关数据存档不少于五年。</w:t>
      </w:r>
    </w:p>
    <w:p>
      <w:pPr>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sz w:val="32"/>
          <w:szCs w:val="32"/>
          <w:highlight w:val="none"/>
          <w:lang w:eastAsia="zh-CN"/>
        </w:rPr>
      </w:pPr>
      <w:r>
        <w:rPr>
          <w:rFonts w:hint="eastAsia" w:ascii="仿宋_GB2312" w:hAnsi="仿宋_GB2312" w:eastAsia="仿宋_GB2312" w:cs="仿宋_GB2312"/>
          <w:color w:val="auto"/>
          <w:w w:val="100"/>
          <w:sz w:val="32"/>
          <w:szCs w:val="32"/>
          <w:highlight w:val="none"/>
          <w:lang w:eastAsia="zh-CN"/>
        </w:rPr>
        <w:t>2.1</w:t>
      </w:r>
      <w:r>
        <w:rPr>
          <w:rFonts w:hint="eastAsia" w:ascii="仿宋_GB2312" w:hAnsi="仿宋_GB2312" w:eastAsia="仿宋_GB2312" w:cs="仿宋_GB2312"/>
          <w:color w:val="auto"/>
          <w:w w:val="100"/>
          <w:sz w:val="32"/>
          <w:szCs w:val="32"/>
          <w:highlight w:val="none"/>
          <w:lang w:val="en-US" w:eastAsia="zh-CN"/>
        </w:rPr>
        <w:t>0</w:t>
      </w:r>
      <w:r>
        <w:rPr>
          <w:rFonts w:hint="eastAsia" w:ascii="仿宋_GB2312" w:hAnsi="仿宋_GB2312" w:eastAsia="仿宋_GB2312" w:cs="仿宋_GB2312"/>
          <w:color w:val="auto"/>
          <w:w w:val="100"/>
          <w:sz w:val="32"/>
          <w:szCs w:val="32"/>
          <w:highlight w:val="none"/>
          <w:lang w:eastAsia="zh-CN"/>
        </w:rPr>
        <w:t>经营主体在参与海南电力市场交易过程中，存在滥用市场力、严重违反规则等扰乱市场秩序的不良交易行为时，由国家能源局南方监管局依法依规处理。</w:t>
      </w:r>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10" w:name="_Toc11619"/>
      <w:r>
        <w:rPr>
          <w:rFonts w:hint="eastAsia" w:ascii="黑体" w:hAnsi="黑体" w:eastAsia="黑体" w:cs="黑体"/>
          <w:b w:val="0"/>
          <w:bCs w:val="0"/>
          <w:color w:val="auto"/>
          <w:w w:val="100"/>
          <w:highlight w:val="none"/>
          <w:lang w:eastAsia="zh-CN"/>
        </w:rPr>
        <w:t>3.基本要求</w:t>
      </w:r>
      <w:bookmarkEnd w:id="10"/>
    </w:p>
    <w:p>
      <w:pPr>
        <w:pStyle w:val="7"/>
        <w:pageBreakBefore w:val="0"/>
        <w:kinsoku/>
        <w:wordWrap/>
        <w:overflowPunct/>
        <w:topLinePunct w:val="0"/>
        <w:autoSpaceDE/>
        <w:autoSpaceDN/>
        <w:bidi w:val="0"/>
        <w:adjustRightInd/>
        <w:spacing w:line="560" w:lineRule="exact"/>
        <w:ind w:left="0" w:right="0" w:firstLine="647" w:firstLineChars="200"/>
        <w:jc w:val="both"/>
        <w:textAlignment w:val="auto"/>
        <w:outlineLvl w:val="1"/>
        <w:rPr>
          <w:rFonts w:ascii="仿宋_GB2312" w:hAnsi="仿宋_GB2312" w:eastAsia="仿宋_GB2312" w:cs="仿宋_GB2312"/>
          <w:b/>
          <w:bCs/>
          <w:color w:val="auto"/>
          <w:w w:val="100"/>
          <w:highlight w:val="none"/>
          <w:lang w:eastAsia="zh-CN"/>
        </w:rPr>
      </w:pPr>
      <w:r>
        <w:rPr>
          <w:rFonts w:hint="eastAsia" w:ascii="仿宋_GB2312" w:hAnsi="仿宋_GB2312" w:eastAsia="仿宋_GB2312" w:cs="仿宋_GB2312"/>
          <w:b/>
          <w:bCs/>
          <w:color w:val="auto"/>
          <w:spacing w:val="1"/>
          <w:w w:val="100"/>
          <w:highlight w:val="none"/>
          <w:lang w:eastAsia="zh-CN"/>
        </w:rPr>
        <w:t>3</w:t>
      </w:r>
      <w:r>
        <w:rPr>
          <w:rFonts w:hint="eastAsia" w:ascii="仿宋_GB2312" w:hAnsi="仿宋_GB2312" w:eastAsia="仿宋_GB2312" w:cs="仿宋_GB2312"/>
          <w:b/>
          <w:bCs/>
          <w:color w:val="auto"/>
          <w:spacing w:val="-1"/>
          <w:w w:val="100"/>
          <w:highlight w:val="none"/>
          <w:lang w:eastAsia="zh-CN"/>
        </w:rPr>
        <w:t>.</w:t>
      </w:r>
      <w:r>
        <w:rPr>
          <w:rFonts w:hint="eastAsia" w:ascii="仿宋_GB2312" w:hAnsi="仿宋_GB2312" w:eastAsia="仿宋_GB2312" w:cs="仿宋_GB2312"/>
          <w:b/>
          <w:bCs/>
          <w:color w:val="auto"/>
          <w:w w:val="100"/>
          <w:highlight w:val="none"/>
          <w:lang w:eastAsia="zh-CN"/>
        </w:rPr>
        <w:t>1</w:t>
      </w:r>
      <w:bookmarkStart w:id="11" w:name="5.1交易方式"/>
      <w:bookmarkEnd w:id="11"/>
      <w:bookmarkStart w:id="12" w:name="_bookmark5"/>
      <w:bookmarkEnd w:id="12"/>
      <w:r>
        <w:rPr>
          <w:rFonts w:hint="eastAsia" w:ascii="仿宋_GB2312" w:hAnsi="仿宋_GB2312" w:eastAsia="仿宋_GB2312" w:cs="仿宋_GB2312"/>
          <w:b/>
          <w:bCs/>
          <w:color w:val="auto"/>
          <w:w w:val="100"/>
          <w:highlight w:val="none"/>
          <w:lang w:eastAsia="zh-CN"/>
        </w:rPr>
        <w:t>交</w:t>
      </w:r>
      <w:r>
        <w:rPr>
          <w:rFonts w:hint="eastAsia" w:ascii="仿宋_GB2312" w:hAnsi="仿宋_GB2312" w:eastAsia="仿宋_GB2312" w:cs="仿宋_GB2312"/>
          <w:b/>
          <w:bCs/>
          <w:color w:val="auto"/>
          <w:spacing w:val="2"/>
          <w:w w:val="100"/>
          <w:highlight w:val="none"/>
          <w:lang w:eastAsia="zh-CN"/>
        </w:rPr>
        <w:t>易</w:t>
      </w:r>
      <w:r>
        <w:rPr>
          <w:rFonts w:hint="eastAsia" w:ascii="仿宋_GB2312" w:hAnsi="仿宋_GB2312" w:eastAsia="仿宋_GB2312" w:cs="仿宋_GB2312"/>
          <w:b/>
          <w:bCs/>
          <w:color w:val="auto"/>
          <w:w w:val="100"/>
          <w:highlight w:val="none"/>
          <w:lang w:eastAsia="zh-CN"/>
        </w:rPr>
        <w:t>品种库</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Ansi="仿宋_GB2312" w:cs="仿宋_GB2312"/>
          <w:color w:val="auto"/>
          <w:w w:val="100"/>
          <w:highlight w:val="none"/>
        </w:rPr>
      </w:pPr>
      <w:bookmarkStart w:id="13" w:name="_Hlk105486150"/>
      <w:r>
        <w:rPr>
          <w:rFonts w:hint="eastAsia" w:ascii="仿宋_GB2312" w:hAnsi="仿宋_GB2312" w:eastAsia="仿宋_GB2312" w:cs="仿宋_GB2312"/>
          <w:color w:val="auto"/>
          <w:w w:val="100"/>
          <w:sz w:val="32"/>
          <w:szCs w:val="32"/>
          <w:highlight w:val="none"/>
          <w:lang w:eastAsia="zh-CN"/>
        </w:rPr>
        <w:t>海南电力市场中长期电能量交易</w:t>
      </w:r>
      <w:r>
        <w:rPr>
          <w:rFonts w:hint="eastAsia" w:hAnsi="仿宋_GB2312" w:cs="仿宋_GB2312"/>
          <w:color w:val="auto"/>
          <w:w w:val="100"/>
          <w:highlight w:val="none"/>
        </w:rPr>
        <w:t>根据</w:t>
      </w:r>
      <w:r>
        <w:rPr>
          <w:rFonts w:hint="eastAsia" w:hAnsi="仿宋_GB2312" w:cs="仿宋_GB2312"/>
          <w:color w:val="auto"/>
          <w:w w:val="100"/>
          <w:kern w:val="0"/>
          <w:highlight w:val="none"/>
        </w:rPr>
        <w:t>南方区域电力市场中长期电能量交易统一品种库，结合海南电力市场实际，形成省内各类电能量交易品种</w:t>
      </w:r>
      <w:r>
        <w:rPr>
          <w:rFonts w:hint="eastAsia" w:hAnsi="仿宋_GB2312" w:cs="仿宋_GB2312"/>
          <w:color w:val="auto"/>
          <w:w w:val="100"/>
          <w:highlight w:val="none"/>
        </w:rPr>
        <w:t>。</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2"/>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3.1.1执行周期</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hAnsi="仿宋_GB2312" w:cs="仿宋_GB2312"/>
          <w:color w:val="auto"/>
          <w:w w:val="100"/>
          <w:kern w:val="44"/>
          <w:highlight w:val="none"/>
        </w:rPr>
      </w:pPr>
      <w:r>
        <w:rPr>
          <w:rFonts w:hint="eastAsia" w:hAnsi="仿宋_GB2312" w:cs="仿宋_GB2312"/>
          <w:color w:val="auto"/>
          <w:w w:val="100"/>
          <w:kern w:val="44"/>
          <w:highlight w:val="none"/>
        </w:rPr>
        <w:t>根据交易标的物执行周期不同，海南中长期电能量交易品种划分为年</w:t>
      </w:r>
      <w:r>
        <w:rPr>
          <w:rFonts w:hint="eastAsia" w:hAnsi="仿宋_GB2312" w:cs="仿宋_GB2312"/>
          <w:color w:val="auto"/>
          <w:w w:val="100"/>
          <w:kern w:val="44"/>
          <w:highlight w:val="none"/>
          <w:lang w:val="en-US" w:eastAsia="zh-CN"/>
        </w:rPr>
        <w:t>度（多年）</w:t>
      </w:r>
      <w:r>
        <w:rPr>
          <w:rFonts w:hint="eastAsia" w:hAnsi="仿宋_GB2312" w:cs="仿宋_GB2312"/>
          <w:color w:val="auto"/>
          <w:w w:val="100"/>
          <w:kern w:val="44"/>
          <w:highlight w:val="none"/>
        </w:rPr>
        <w:t>、季</w:t>
      </w:r>
      <w:r>
        <w:rPr>
          <w:rFonts w:hint="eastAsia" w:hAnsi="仿宋_GB2312" w:cs="仿宋_GB2312"/>
          <w:color w:val="auto"/>
          <w:w w:val="100"/>
          <w:kern w:val="44"/>
          <w:highlight w:val="none"/>
          <w:lang w:val="en-US" w:eastAsia="zh-CN"/>
        </w:rPr>
        <w:t>度</w:t>
      </w:r>
      <w:r>
        <w:rPr>
          <w:rFonts w:hint="eastAsia" w:hAnsi="仿宋_GB2312" w:cs="仿宋_GB2312"/>
          <w:color w:val="auto"/>
          <w:w w:val="100"/>
          <w:kern w:val="44"/>
          <w:highlight w:val="none"/>
        </w:rPr>
        <w:t>、月</w:t>
      </w:r>
      <w:r>
        <w:rPr>
          <w:rFonts w:hint="eastAsia" w:hAnsi="仿宋_GB2312" w:cs="仿宋_GB2312"/>
          <w:color w:val="auto"/>
          <w:w w:val="100"/>
          <w:kern w:val="44"/>
          <w:highlight w:val="none"/>
          <w:lang w:val="en-US" w:eastAsia="zh-CN"/>
        </w:rPr>
        <w:t>度</w:t>
      </w:r>
      <w:r>
        <w:rPr>
          <w:rFonts w:hint="eastAsia" w:hAnsi="仿宋_GB2312" w:cs="仿宋_GB2312"/>
          <w:color w:val="auto"/>
          <w:w w:val="100"/>
          <w:kern w:val="44"/>
          <w:highlight w:val="none"/>
          <w:lang w:eastAsia="zh-CN"/>
        </w:rPr>
        <w:t>（</w:t>
      </w:r>
      <w:r>
        <w:rPr>
          <w:rFonts w:hint="eastAsia" w:hAnsi="仿宋_GB2312" w:cs="仿宋_GB2312"/>
          <w:color w:val="auto"/>
          <w:w w:val="100"/>
          <w:kern w:val="44"/>
          <w:highlight w:val="none"/>
          <w:lang w:val="en-US" w:eastAsia="zh-CN"/>
        </w:rPr>
        <w:t>多月</w:t>
      </w:r>
      <w:r>
        <w:rPr>
          <w:rFonts w:hint="eastAsia" w:hAnsi="仿宋_GB2312" w:cs="仿宋_GB2312"/>
          <w:color w:val="auto"/>
          <w:w w:val="100"/>
          <w:kern w:val="44"/>
          <w:highlight w:val="none"/>
          <w:lang w:eastAsia="zh-CN"/>
        </w:rPr>
        <w:t>）</w:t>
      </w:r>
      <w:r>
        <w:rPr>
          <w:rFonts w:hint="eastAsia" w:hAnsi="仿宋_GB2312" w:cs="仿宋_GB2312"/>
          <w:color w:val="auto"/>
          <w:w w:val="100"/>
          <w:kern w:val="44"/>
          <w:highlight w:val="none"/>
        </w:rPr>
        <w:t>、周</w:t>
      </w:r>
      <w:r>
        <w:rPr>
          <w:rFonts w:hint="eastAsia" w:hAnsi="仿宋_GB2312" w:cs="仿宋_GB2312"/>
          <w:color w:val="auto"/>
          <w:w w:val="100"/>
          <w:kern w:val="44"/>
          <w:highlight w:val="none"/>
          <w:lang w:eastAsia="zh-CN"/>
        </w:rPr>
        <w:t>（</w:t>
      </w:r>
      <w:r>
        <w:rPr>
          <w:rFonts w:hint="eastAsia" w:hAnsi="仿宋_GB2312" w:cs="仿宋_GB2312"/>
          <w:color w:val="auto"/>
          <w:w w:val="100"/>
          <w:kern w:val="44"/>
          <w:highlight w:val="none"/>
          <w:lang w:val="en-US" w:eastAsia="zh-CN"/>
        </w:rPr>
        <w:t>多日</w:t>
      </w:r>
      <w:r>
        <w:rPr>
          <w:rFonts w:hint="eastAsia" w:hAnsi="仿宋_GB2312" w:cs="仿宋_GB2312"/>
          <w:color w:val="auto"/>
          <w:w w:val="100"/>
          <w:kern w:val="44"/>
          <w:highlight w:val="none"/>
          <w:lang w:eastAsia="zh-CN"/>
        </w:rPr>
        <w:t>）</w:t>
      </w:r>
      <w:r>
        <w:rPr>
          <w:rFonts w:hint="eastAsia" w:hAnsi="仿宋_GB2312" w:cs="仿宋_GB2312"/>
          <w:color w:val="auto"/>
          <w:w w:val="100"/>
          <w:kern w:val="44"/>
          <w:highlight w:val="none"/>
        </w:rPr>
        <w:t>交易品种等。</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hAnsi="仿宋_GB2312" w:cs="仿宋_GB2312"/>
          <w:color w:val="auto"/>
          <w:w w:val="100"/>
          <w:highlight w:val="none"/>
          <w:lang w:eastAsia="zh-CN"/>
        </w:rPr>
      </w:pPr>
      <w:r>
        <w:rPr>
          <w:rFonts w:hint="eastAsia" w:hAnsi="仿宋_GB2312" w:cs="仿宋_GB2312"/>
          <w:color w:val="auto"/>
          <w:w w:val="100"/>
          <w:kern w:val="44"/>
          <w:highlight w:val="none"/>
        </w:rPr>
        <w:t>3.1.1.1</w:t>
      </w:r>
      <w:r>
        <w:rPr>
          <w:rFonts w:hint="eastAsia" w:hAnsi="仿宋_GB2312" w:cs="仿宋_GB2312"/>
          <w:color w:val="auto"/>
          <w:w w:val="100"/>
          <w:highlight w:val="none"/>
        </w:rPr>
        <w:t>年度交易时，组织执行周期为年（多年）的各类交易。合同执行周期为年时，交易标的应包含次年年度总量、1-12月的分时曲线，部分月份、日期或时段的分时曲线可以为零</w:t>
      </w:r>
      <w:r>
        <w:rPr>
          <w:rFonts w:hint="eastAsia" w:hAnsi="仿宋_GB2312" w:cs="仿宋_GB2312"/>
          <w:color w:val="auto"/>
          <w:w w:val="100"/>
          <w:highlight w:val="none"/>
          <w:lang w:eastAsia="zh-CN"/>
        </w:rPr>
        <w:t>。原则上每年年底组织开展次年年度交易。</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hAnsi="仿宋_GB2312" w:cs="仿宋_GB2312"/>
          <w:color w:val="auto"/>
          <w:w w:val="100"/>
          <w:highlight w:val="none"/>
        </w:rPr>
      </w:pPr>
      <w:r>
        <w:rPr>
          <w:rFonts w:hint="eastAsia" w:hAnsi="仿宋_GB2312" w:cs="仿宋_GB2312"/>
          <w:color w:val="auto"/>
          <w:w w:val="100"/>
          <w:highlight w:val="none"/>
        </w:rPr>
        <w:t>3.1.1.</w:t>
      </w:r>
      <w:r>
        <w:rPr>
          <w:rFonts w:hint="eastAsia" w:hAnsi="仿宋_GB2312" w:cs="仿宋_GB2312"/>
          <w:color w:val="auto"/>
          <w:w w:val="100"/>
          <w:highlight w:val="none"/>
          <w:lang w:val="en-US" w:eastAsia="zh-CN"/>
        </w:rPr>
        <w:t>2</w:t>
      </w:r>
      <w:r>
        <w:rPr>
          <w:rFonts w:hint="eastAsia" w:hAnsi="仿宋_GB2312" w:cs="仿宋_GB2312"/>
          <w:color w:val="auto"/>
          <w:w w:val="100"/>
          <w:highlight w:val="none"/>
        </w:rPr>
        <w:t>季度交易时，组织执行周期为季度的各类交易。</w:t>
      </w:r>
      <w:r>
        <w:rPr>
          <w:rFonts w:hint="eastAsia" w:hAnsi="仿宋_GB2312" w:cs="仿宋_GB2312"/>
          <w:color w:val="auto"/>
          <w:w w:val="100"/>
          <w:highlight w:val="none"/>
          <w:lang w:eastAsia="zh-CN"/>
        </w:rPr>
        <w:t>经营主体</w:t>
      </w:r>
      <w:r>
        <w:rPr>
          <w:rFonts w:hint="eastAsia" w:hAnsi="仿宋_GB2312" w:cs="仿宋_GB2312"/>
          <w:color w:val="auto"/>
          <w:w w:val="100"/>
          <w:highlight w:val="none"/>
        </w:rPr>
        <w:t>通过选择次季度的首、末月份，确定执行周期。交易标的须包含次季度的总量、分时曲线，部分</w:t>
      </w:r>
      <w:r>
        <w:rPr>
          <w:rFonts w:hint="eastAsia" w:hAnsi="仿宋_GB2312" w:cs="仿宋_GB2312"/>
          <w:color w:val="auto"/>
          <w:w w:val="100"/>
          <w:highlight w:val="none"/>
          <w:lang w:val="en-US" w:eastAsia="zh-CN"/>
        </w:rPr>
        <w:t>月份、</w:t>
      </w:r>
      <w:r>
        <w:rPr>
          <w:rFonts w:hint="eastAsia" w:hAnsi="仿宋_GB2312" w:cs="仿宋_GB2312"/>
          <w:color w:val="auto"/>
          <w:w w:val="100"/>
          <w:highlight w:val="none"/>
        </w:rPr>
        <w:t>日期</w:t>
      </w:r>
      <w:r>
        <w:rPr>
          <w:rFonts w:hint="eastAsia" w:hAnsi="仿宋_GB2312" w:cs="仿宋_GB2312"/>
          <w:color w:val="auto"/>
          <w:w w:val="100"/>
          <w:highlight w:val="none"/>
          <w:lang w:val="en-US" w:eastAsia="zh-CN"/>
        </w:rPr>
        <w:t>或时段的</w:t>
      </w:r>
      <w:r>
        <w:rPr>
          <w:rFonts w:hint="eastAsia" w:hAnsi="仿宋_GB2312" w:cs="仿宋_GB2312"/>
          <w:color w:val="auto"/>
          <w:w w:val="100"/>
          <w:highlight w:val="none"/>
        </w:rPr>
        <w:t>分时曲线可以为零。</w:t>
      </w:r>
      <w:r>
        <w:rPr>
          <w:rFonts w:hint="eastAsia" w:ascii="仿宋_GB2312" w:hAnsi="仿宋_GB2312" w:eastAsia="仿宋_GB2312" w:cs="仿宋_GB2312"/>
          <w:color w:val="auto"/>
          <w:w w:val="100"/>
          <w:highlight w:val="none"/>
          <w:lang w:eastAsia="zh-CN"/>
        </w:rPr>
        <w:t>原则上每季度</w:t>
      </w:r>
      <w:r>
        <w:rPr>
          <w:rFonts w:hint="eastAsia" w:ascii="仿宋_GB2312" w:hAnsi="仿宋_GB2312" w:eastAsia="仿宋_GB2312" w:cs="仿宋_GB2312"/>
          <w:color w:val="auto"/>
          <w:w w:val="100"/>
          <w:highlight w:val="none"/>
          <w:lang w:val="en-US" w:eastAsia="zh-CN"/>
        </w:rPr>
        <w:t>最后一个月的</w:t>
      </w:r>
      <w:r>
        <w:rPr>
          <w:rFonts w:hint="eastAsia" w:ascii="仿宋_GB2312" w:hAnsi="仿宋_GB2312" w:eastAsia="仿宋_GB2312" w:cs="仿宋_GB2312"/>
          <w:color w:val="auto"/>
          <w:w w:val="100"/>
          <w:highlight w:val="none"/>
          <w:lang w:eastAsia="zh-CN"/>
        </w:rPr>
        <w:t>下旬组织开展次季度交易</w:t>
      </w:r>
      <w:r>
        <w:rPr>
          <w:rFonts w:hint="eastAsia" w:hAnsi="仿宋_GB2312" w:cs="仿宋_GB2312"/>
          <w:color w:val="auto"/>
          <w:w w:val="100"/>
          <w:highlight w:val="none"/>
          <w:lang w:eastAsia="zh-CN"/>
        </w:rPr>
        <w:t>。</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default" w:hAnsi="仿宋_GB2312" w:cs="仿宋_GB2312"/>
          <w:color w:val="auto"/>
          <w:w w:val="100"/>
          <w:highlight w:val="none"/>
          <w:lang w:val="en-US" w:eastAsia="zh-CN"/>
        </w:rPr>
      </w:pPr>
      <w:r>
        <w:rPr>
          <w:rFonts w:hint="eastAsia" w:hAnsi="仿宋_GB2312" w:cs="仿宋_GB2312"/>
          <w:color w:val="auto"/>
          <w:w w:val="100"/>
          <w:highlight w:val="none"/>
        </w:rPr>
        <w:t>3.1.1.</w:t>
      </w:r>
      <w:r>
        <w:rPr>
          <w:rFonts w:hint="eastAsia" w:hAnsi="仿宋_GB2312" w:cs="仿宋_GB2312"/>
          <w:color w:val="auto"/>
          <w:w w:val="100"/>
          <w:highlight w:val="none"/>
          <w:lang w:val="en-US" w:eastAsia="zh-CN"/>
        </w:rPr>
        <w:t>3</w:t>
      </w:r>
      <w:r>
        <w:rPr>
          <w:rFonts w:hint="eastAsia" w:hAnsi="仿宋_GB2312" w:cs="仿宋_GB2312"/>
          <w:color w:val="auto"/>
          <w:w w:val="100"/>
          <w:highlight w:val="none"/>
        </w:rPr>
        <w:t>月度交易时，组织执行周期为月和多月交易的各类交易。</w:t>
      </w:r>
      <w:r>
        <w:rPr>
          <w:rFonts w:hint="eastAsia" w:hAnsi="仿宋_GB2312" w:cs="仿宋_GB2312"/>
          <w:color w:val="auto"/>
          <w:w w:val="100"/>
          <w:highlight w:val="none"/>
          <w:lang w:eastAsia="zh-CN"/>
        </w:rPr>
        <w:t>经营主体</w:t>
      </w:r>
      <w:r>
        <w:rPr>
          <w:rFonts w:hint="eastAsia" w:hAnsi="仿宋_GB2312" w:cs="仿宋_GB2312"/>
          <w:color w:val="auto"/>
          <w:w w:val="100"/>
          <w:highlight w:val="none"/>
        </w:rPr>
        <w:t>通过选择首、末月份，确定执行周期。当执行周期为多月时，交易标的须包含次月至年底前任一月份的总量、分时曲线，部分</w:t>
      </w:r>
      <w:r>
        <w:rPr>
          <w:rFonts w:hint="eastAsia" w:hAnsi="仿宋_GB2312" w:cs="仿宋_GB2312"/>
          <w:color w:val="auto"/>
          <w:w w:val="100"/>
          <w:highlight w:val="none"/>
          <w:lang w:val="en-US" w:eastAsia="zh-CN"/>
        </w:rPr>
        <w:t>月份、</w:t>
      </w:r>
      <w:r>
        <w:rPr>
          <w:rFonts w:hint="eastAsia" w:hAnsi="仿宋_GB2312" w:cs="仿宋_GB2312"/>
          <w:color w:val="auto"/>
          <w:w w:val="100"/>
          <w:highlight w:val="none"/>
        </w:rPr>
        <w:t>日期</w:t>
      </w:r>
      <w:r>
        <w:rPr>
          <w:rFonts w:hint="eastAsia" w:hAnsi="仿宋_GB2312" w:cs="仿宋_GB2312"/>
          <w:color w:val="auto"/>
          <w:w w:val="100"/>
          <w:highlight w:val="none"/>
          <w:lang w:val="en-US" w:eastAsia="zh-CN"/>
        </w:rPr>
        <w:t>或时段的</w:t>
      </w:r>
      <w:r>
        <w:rPr>
          <w:rFonts w:hint="eastAsia" w:hAnsi="仿宋_GB2312" w:cs="仿宋_GB2312"/>
          <w:color w:val="auto"/>
          <w:w w:val="100"/>
          <w:highlight w:val="none"/>
        </w:rPr>
        <w:t>分时曲线可以为零。执行周期为月时，交易标的仅包含次月总量、分时曲线，部分日期</w:t>
      </w:r>
      <w:r>
        <w:rPr>
          <w:rFonts w:hint="eastAsia" w:hAnsi="仿宋_GB2312" w:cs="仿宋_GB2312"/>
          <w:color w:val="auto"/>
          <w:w w:val="100"/>
          <w:highlight w:val="none"/>
          <w:lang w:val="en-US" w:eastAsia="zh-CN"/>
        </w:rPr>
        <w:t>或时段的</w:t>
      </w:r>
      <w:r>
        <w:rPr>
          <w:rFonts w:hint="eastAsia" w:hAnsi="仿宋_GB2312" w:cs="仿宋_GB2312"/>
          <w:color w:val="auto"/>
          <w:w w:val="100"/>
          <w:highlight w:val="none"/>
        </w:rPr>
        <w:t>分时曲线可以为零。</w:t>
      </w:r>
      <w:r>
        <w:rPr>
          <w:rFonts w:hint="eastAsia" w:ascii="仿宋_GB2312" w:hAnsi="仿宋_GB2312" w:eastAsia="仿宋_GB2312" w:cs="仿宋_GB2312"/>
          <w:color w:val="auto"/>
          <w:w w:val="100"/>
          <w:highlight w:val="none"/>
          <w:lang w:eastAsia="zh-CN"/>
        </w:rPr>
        <w:t>原则上每月下旬开始组织开展次月交易</w:t>
      </w:r>
      <w:r>
        <w:rPr>
          <w:rFonts w:hint="eastAsia" w:hAnsi="仿宋_GB2312" w:cs="仿宋_GB2312"/>
          <w:color w:val="auto"/>
          <w:w w:val="100"/>
          <w:highlight w:val="none"/>
          <w:lang w:val="en-US" w:eastAsia="zh-CN"/>
        </w:rPr>
        <w:t>。</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hAnsi="仿宋_GB2312" w:cs="仿宋_GB2312"/>
          <w:color w:val="auto"/>
          <w:w w:val="100"/>
          <w:highlight w:val="none"/>
        </w:rPr>
      </w:pPr>
      <w:r>
        <w:rPr>
          <w:rFonts w:hint="eastAsia" w:hAnsi="仿宋_GB2312" w:cs="仿宋_GB2312"/>
          <w:color w:val="auto"/>
          <w:w w:val="100"/>
          <w:highlight w:val="none"/>
        </w:rPr>
        <w:t>3.1.1.</w:t>
      </w:r>
      <w:r>
        <w:rPr>
          <w:rFonts w:hint="eastAsia" w:hAnsi="仿宋_GB2312" w:cs="仿宋_GB2312"/>
          <w:color w:val="auto"/>
          <w:w w:val="100"/>
          <w:highlight w:val="none"/>
          <w:lang w:val="en-US" w:eastAsia="zh-CN"/>
        </w:rPr>
        <w:t>4</w:t>
      </w:r>
      <w:r>
        <w:rPr>
          <w:rFonts w:hint="eastAsia" w:hAnsi="仿宋_GB2312" w:cs="仿宋_GB2312"/>
          <w:color w:val="auto"/>
          <w:w w:val="100"/>
          <w:highlight w:val="none"/>
        </w:rPr>
        <w:t>周（多日）交易时，结合电力保供应、清洁能源消纳等市场交易需求，可以组织执行周期为周和多日交易的各类交易。交易中心通过选择</w:t>
      </w:r>
      <w:r>
        <w:rPr>
          <w:rFonts w:hint="eastAsia" w:hAnsi="仿宋_GB2312" w:cs="仿宋_GB2312"/>
          <w:color w:val="auto"/>
          <w:w w:val="100"/>
          <w:highlight w:val="none"/>
          <w:lang w:val="en-US" w:eastAsia="zh-CN"/>
        </w:rPr>
        <w:t>月内的</w:t>
      </w:r>
      <w:r>
        <w:rPr>
          <w:rFonts w:hint="eastAsia" w:hAnsi="仿宋_GB2312" w:cs="仿宋_GB2312"/>
          <w:color w:val="auto"/>
          <w:w w:val="100"/>
          <w:highlight w:val="none"/>
        </w:rPr>
        <w:t>首、末日，确定执行周期。交易标的包含次周</w:t>
      </w:r>
      <w:r>
        <w:rPr>
          <w:rFonts w:hint="eastAsia" w:hAnsi="仿宋_GB2312" w:cs="仿宋_GB2312"/>
          <w:color w:val="auto"/>
          <w:w w:val="100"/>
          <w:highlight w:val="none"/>
          <w:lang w:val="en-US" w:eastAsia="zh-CN"/>
        </w:rPr>
        <w:t>或多日</w:t>
      </w:r>
      <w:r>
        <w:rPr>
          <w:rFonts w:hint="eastAsia" w:hAnsi="仿宋_GB2312" w:cs="仿宋_GB2312"/>
          <w:color w:val="auto"/>
          <w:w w:val="100"/>
          <w:highlight w:val="none"/>
        </w:rPr>
        <w:t>总量、分时曲线，部分日期或时段分时曲线可以为零。</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hAnsi="仿宋_GB2312" w:cs="仿宋_GB2312"/>
          <w:color w:val="auto"/>
          <w:w w:val="100"/>
          <w:highlight w:val="none"/>
        </w:rPr>
        <w:t>3.1.1.</w:t>
      </w:r>
      <w:r>
        <w:rPr>
          <w:rFonts w:hint="eastAsia" w:hAnsi="仿宋_GB2312" w:cs="仿宋_GB2312"/>
          <w:color w:val="auto"/>
          <w:w w:val="100"/>
          <w:highlight w:val="none"/>
          <w:lang w:val="en-US" w:eastAsia="zh-CN"/>
        </w:rPr>
        <w:t>4.1</w:t>
      </w:r>
      <w:r>
        <w:rPr>
          <w:rFonts w:hint="eastAsia" w:ascii="仿宋_GB2312" w:hAnsi="仿宋_GB2312" w:eastAsia="仿宋_GB2312" w:cs="仿宋_GB2312"/>
          <w:color w:val="auto"/>
          <w:w w:val="100"/>
          <w:highlight w:val="none"/>
          <w:lang w:eastAsia="zh-CN"/>
        </w:rPr>
        <w:t>周交易原则上每</w:t>
      </w:r>
      <w:r>
        <w:rPr>
          <w:rFonts w:hint="eastAsia" w:hAnsi="仿宋_GB2312" w:cs="仿宋_GB2312"/>
          <w:color w:val="auto"/>
          <w:w w:val="100"/>
          <w:highlight w:val="none"/>
          <w:lang w:val="en-US" w:eastAsia="zh-CN"/>
        </w:rPr>
        <w:t>周</w:t>
      </w:r>
      <w:r>
        <w:rPr>
          <w:rFonts w:hint="eastAsia" w:ascii="仿宋_GB2312" w:hAnsi="仿宋_GB2312" w:eastAsia="仿宋_GB2312" w:cs="仿宋_GB2312"/>
          <w:color w:val="auto"/>
          <w:w w:val="100"/>
          <w:highlight w:val="none"/>
          <w:lang w:eastAsia="zh-CN"/>
        </w:rPr>
        <w:t>开展，如遇节假日，根据实际情况提前组织交易。标的物不跨月，原则上为次周周一至周日，当剩余标的日不足3日时，可与前序或后续周合并开展交易；当剩余标的日不低于3日且不足7日时，单独作为一周开展交易，具体交易时间以交易中心发布的交易公告为准。</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default" w:ascii="仿宋_GB2312" w:hAnsi="仿宋_GB2312" w:eastAsia="仿宋_GB2312" w:cs="仿宋_GB2312"/>
          <w:color w:val="auto"/>
          <w:w w:val="100"/>
          <w:highlight w:val="none"/>
          <w:lang w:val="en-US" w:eastAsia="zh-CN"/>
        </w:rPr>
      </w:pPr>
      <w:r>
        <w:rPr>
          <w:rFonts w:hint="eastAsia" w:hAnsi="仿宋_GB2312" w:cs="仿宋_GB2312"/>
          <w:color w:val="auto"/>
          <w:w w:val="100"/>
          <w:highlight w:val="none"/>
          <w:lang w:val="en-US" w:eastAsia="zh-CN"/>
        </w:rPr>
        <w:t>3.1.1.4.2</w:t>
      </w:r>
      <w:r>
        <w:rPr>
          <w:rFonts w:hint="eastAsia" w:ascii="仿宋_GB2312" w:hAnsi="仿宋_GB2312" w:eastAsia="仿宋_GB2312" w:cs="仿宋_GB2312"/>
          <w:strike w:val="0"/>
          <w:dstrike w:val="0"/>
          <w:color w:val="auto"/>
          <w:w w:val="100"/>
          <w:highlight w:val="none"/>
          <w:lang w:val="en-US" w:eastAsia="zh-CN"/>
        </w:rPr>
        <w:t>多日交易依据南方区域现货结算试运行时间视情况开展，</w:t>
      </w:r>
      <w:r>
        <w:rPr>
          <w:rFonts w:hint="eastAsia" w:ascii="仿宋_GB2312" w:hAnsi="仿宋_GB2312" w:eastAsia="仿宋_GB2312" w:cs="仿宋_GB2312"/>
          <w:strike w:val="0"/>
          <w:dstrike w:val="0"/>
          <w:color w:val="auto"/>
          <w:w w:val="100"/>
          <w:highlight w:val="none"/>
          <w:lang w:eastAsia="zh-CN"/>
        </w:rPr>
        <w:t>具体交易时间以交易中心发布的交易公告为准</w:t>
      </w:r>
      <w:r>
        <w:rPr>
          <w:rFonts w:hint="eastAsia" w:ascii="仿宋_GB2312" w:hAnsi="仿宋_GB2312" w:eastAsia="仿宋_GB2312" w:cs="仿宋_GB2312"/>
          <w:strike w:val="0"/>
          <w:dstrike w:val="0"/>
          <w:color w:val="auto"/>
          <w:w w:val="100"/>
          <w:highlight w:val="none"/>
          <w:lang w:val="en-US" w:eastAsia="zh-CN"/>
        </w:rPr>
        <w:t>。</w:t>
      </w:r>
    </w:p>
    <w:p>
      <w:pPr>
        <w:keepNext/>
        <w:keepLines/>
        <w:pageBreakBefore w:val="0"/>
        <w:kinsoku/>
        <w:wordWrap/>
        <w:overflowPunct/>
        <w:topLinePunct w:val="0"/>
        <w:autoSpaceDE/>
        <w:autoSpaceDN/>
        <w:bidi w:val="0"/>
        <w:adjustRightInd/>
        <w:snapToGrid w:val="0"/>
        <w:spacing w:line="560" w:lineRule="exact"/>
        <w:ind w:left="0" w:right="0" w:firstLine="640" w:firstLineChars="200"/>
        <w:jc w:val="both"/>
        <w:textAlignment w:val="auto"/>
        <w:outlineLvl w:val="2"/>
        <w:rPr>
          <w:rFonts w:ascii="仿宋_GB2312" w:hAnsi="仿宋_GB2312" w:eastAsia="仿宋_GB2312" w:cs="仿宋_GB2312"/>
          <w:color w:val="auto"/>
          <w:w w:val="100"/>
          <w:kern w:val="44"/>
          <w:sz w:val="32"/>
          <w:szCs w:val="32"/>
          <w:highlight w:val="none"/>
          <w:lang w:eastAsia="zh-CN"/>
        </w:rPr>
      </w:pPr>
      <w:bookmarkStart w:id="14" w:name="_Toc16409"/>
      <w:r>
        <w:rPr>
          <w:rFonts w:hint="eastAsia" w:ascii="仿宋_GB2312" w:hAnsi="仿宋_GB2312" w:eastAsia="仿宋_GB2312" w:cs="仿宋_GB2312"/>
          <w:color w:val="auto"/>
          <w:w w:val="100"/>
          <w:kern w:val="44"/>
          <w:sz w:val="32"/>
          <w:szCs w:val="32"/>
          <w:highlight w:val="none"/>
          <w:lang w:eastAsia="zh-CN"/>
        </w:rPr>
        <w:t>3.1.2交易标的</w:t>
      </w:r>
      <w:bookmarkEnd w:id="14"/>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szCs w:val="30"/>
          <w:highlight w:val="none"/>
          <w:lang w:eastAsia="zh-CN"/>
        </w:rPr>
      </w:pPr>
      <w:r>
        <w:rPr>
          <w:rFonts w:hint="eastAsia" w:ascii="仿宋_GB2312" w:hAnsi="仿宋_GB2312" w:eastAsia="仿宋_GB2312" w:cs="仿宋_GB2312"/>
          <w:color w:val="auto"/>
          <w:w w:val="100"/>
          <w:szCs w:val="30"/>
          <w:highlight w:val="none"/>
          <w:lang w:eastAsia="zh-CN"/>
        </w:rPr>
        <w:t>中长期电能量交易包括发用经营主体之间直接开展的电量交易。</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Ansi="仿宋_GB2312" w:cs="仿宋_GB2312"/>
          <w:color w:val="auto"/>
          <w:w w:val="100"/>
          <w:highlight w:val="none"/>
        </w:rPr>
      </w:pPr>
      <w:r>
        <w:rPr>
          <w:rFonts w:hint="eastAsia" w:hAnsi="仿宋_GB2312" w:cs="仿宋_GB2312"/>
          <w:color w:val="auto"/>
          <w:w w:val="100"/>
          <w:highlight w:val="none"/>
        </w:rPr>
        <w:t>3.1.2.1电量交易包括省内中长期</w:t>
      </w:r>
      <w:r>
        <w:rPr>
          <w:rFonts w:hint="eastAsia" w:hAnsi="仿宋_GB2312" w:cs="仿宋_GB2312"/>
          <w:color w:val="auto"/>
          <w:w w:val="100"/>
          <w:highlight w:val="none"/>
          <w:lang w:val="en-US" w:eastAsia="zh-CN"/>
        </w:rPr>
        <w:t>直接</w:t>
      </w:r>
      <w:r>
        <w:rPr>
          <w:rFonts w:hint="eastAsia" w:hAnsi="仿宋_GB2312" w:cs="仿宋_GB2312"/>
          <w:color w:val="auto"/>
          <w:w w:val="100"/>
          <w:highlight w:val="none"/>
        </w:rPr>
        <w:t>交易</w:t>
      </w:r>
      <w:r>
        <w:rPr>
          <w:rFonts w:hint="eastAsia" w:hAnsi="仿宋_GB2312" w:cs="仿宋_GB2312"/>
          <w:color w:val="auto"/>
          <w:w w:val="100"/>
          <w:highlight w:val="none"/>
          <w:lang w:eastAsia="zh-CN"/>
        </w:rPr>
        <w:t>、</w:t>
      </w:r>
      <w:r>
        <w:rPr>
          <w:rFonts w:hint="eastAsia" w:hAnsi="仿宋_GB2312" w:cs="仿宋_GB2312"/>
          <w:color w:val="auto"/>
          <w:w w:val="100"/>
          <w:highlight w:val="none"/>
        </w:rPr>
        <w:t>电网企业代理购电交易。</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default" w:hAnsi="仿宋_GB2312" w:eastAsia="仿宋_GB2312" w:cs="仿宋_GB2312"/>
          <w:color w:val="auto"/>
          <w:w w:val="100"/>
          <w:highlight w:val="none"/>
          <w:lang w:val="en-US" w:eastAsia="zh-CN"/>
        </w:rPr>
      </w:pPr>
      <w:r>
        <w:rPr>
          <w:rFonts w:hint="eastAsia" w:hAnsi="仿宋_GB2312" w:cs="仿宋_GB2312"/>
          <w:color w:val="auto"/>
          <w:w w:val="100"/>
          <w:highlight w:val="none"/>
          <w:lang w:val="en-US" w:eastAsia="zh-CN"/>
        </w:rPr>
        <w:t>3.1.2.1.2</w:t>
      </w:r>
      <w:r>
        <w:rPr>
          <w:rFonts w:hint="eastAsia" w:hAnsi="仿宋_GB2312" w:cs="仿宋_GB2312"/>
          <w:color w:val="auto"/>
          <w:w w:val="100"/>
          <w:highlight w:val="none"/>
        </w:rPr>
        <w:t>省内中长期</w:t>
      </w:r>
      <w:r>
        <w:rPr>
          <w:rFonts w:hint="eastAsia" w:hAnsi="仿宋_GB2312" w:cs="仿宋_GB2312"/>
          <w:color w:val="auto"/>
          <w:w w:val="100"/>
          <w:highlight w:val="none"/>
          <w:lang w:val="en-US" w:eastAsia="zh-CN"/>
        </w:rPr>
        <w:t>直接</w:t>
      </w:r>
      <w:r>
        <w:rPr>
          <w:rFonts w:hint="eastAsia" w:hAnsi="仿宋_GB2312" w:cs="仿宋_GB2312"/>
          <w:color w:val="auto"/>
          <w:w w:val="100"/>
          <w:highlight w:val="none"/>
        </w:rPr>
        <w:t>交易是</w:t>
      </w:r>
      <w:r>
        <w:rPr>
          <w:rFonts w:hint="eastAsia" w:hAnsi="仿宋_GB2312" w:cs="仿宋_GB2312"/>
          <w:color w:val="auto"/>
          <w:w w:val="100"/>
          <w:highlight w:val="none"/>
          <w:lang w:val="en-US" w:eastAsia="zh-CN"/>
        </w:rPr>
        <w:t>经营主体在省内通过</w:t>
      </w:r>
      <w:r>
        <w:rPr>
          <w:rFonts w:hint="eastAsia" w:hAnsi="仿宋_GB2312" w:cs="仿宋_GB2312"/>
          <w:color w:val="auto"/>
          <w:w w:val="100"/>
          <w:highlight w:val="none"/>
        </w:rPr>
        <w:t>双边协商、集中交易等市场化方式</w:t>
      </w:r>
      <w:r>
        <w:rPr>
          <w:rFonts w:hint="eastAsia" w:hAnsi="仿宋_GB2312" w:cs="仿宋_GB2312"/>
          <w:color w:val="auto"/>
          <w:w w:val="100"/>
          <w:highlight w:val="none"/>
          <w:lang w:val="en-US" w:eastAsia="zh-CN"/>
        </w:rPr>
        <w:t>进行的直接交易。</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hAnsi="仿宋_GB2312" w:cs="仿宋_GB2312"/>
          <w:color w:val="auto"/>
          <w:w w:val="100"/>
          <w:highlight w:val="none"/>
        </w:rPr>
      </w:pP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rPr>
          <w:rFonts w:hint="default" w:hAnsi="仿宋_GB2312" w:eastAsia="仿宋_GB2312" w:cs="仿宋_GB2312"/>
          <w:color w:val="auto"/>
          <w:w w:val="100"/>
          <w:highlight w:val="none"/>
          <w:lang w:val="en-US" w:eastAsia="zh-CN"/>
        </w:rPr>
      </w:pPr>
      <w:r>
        <w:rPr>
          <w:rFonts w:hint="eastAsia" w:hAnsi="仿宋_GB2312" w:cs="仿宋_GB2312"/>
          <w:color w:val="auto"/>
          <w:w w:val="100"/>
          <w:highlight w:val="none"/>
          <w:lang w:val="en-US" w:eastAsia="zh-CN"/>
        </w:rPr>
        <w:t>3.1.2.1.3</w:t>
      </w:r>
      <w:r>
        <w:rPr>
          <w:rFonts w:hint="eastAsia" w:hAnsi="仿宋_GB2312" w:cs="仿宋_GB2312"/>
          <w:color w:val="auto"/>
          <w:w w:val="100"/>
          <w:highlight w:val="none"/>
        </w:rPr>
        <w:t>电网企业代理购电交易电量是暂未直接从电力市场购电和已直接参与电力市场交易又退出的工商业用户</w:t>
      </w:r>
      <w:r>
        <w:rPr>
          <w:rFonts w:hint="eastAsia" w:hAnsi="仿宋_GB2312" w:cs="仿宋_GB2312"/>
          <w:color w:val="auto"/>
          <w:w w:val="100"/>
          <w:highlight w:val="none"/>
          <w:lang w:eastAsia="zh-CN"/>
        </w:rPr>
        <w:t>，</w:t>
      </w:r>
      <w:r>
        <w:rPr>
          <w:rFonts w:hint="eastAsia" w:hAnsi="仿宋_GB2312" w:cs="仿宋_GB2312"/>
          <w:color w:val="auto"/>
          <w:w w:val="100"/>
          <w:highlight w:val="none"/>
        </w:rPr>
        <w:t>由电网企业代理</w:t>
      </w:r>
      <w:r>
        <w:rPr>
          <w:rFonts w:hint="eastAsia" w:hAnsi="仿宋_GB2312" w:cs="仿宋_GB2312"/>
          <w:color w:val="auto"/>
          <w:w w:val="100"/>
          <w:highlight w:val="none"/>
          <w:lang w:val="en-US" w:eastAsia="zh-CN"/>
        </w:rPr>
        <w:t>通过挂牌交易参与电力市场购电，发电企业作为售电方进行摘牌。</w:t>
      </w:r>
    </w:p>
    <w:p>
      <w:pPr>
        <w:pStyle w:val="7"/>
        <w:pageBreakBefore w:val="0"/>
        <w:kinsoku/>
        <w:wordWrap/>
        <w:overflowPunct/>
        <w:topLinePunct w:val="0"/>
        <w:autoSpaceDE/>
        <w:autoSpaceDN/>
        <w:bidi w:val="0"/>
        <w:adjustRightInd/>
        <w:spacing w:line="560" w:lineRule="exact"/>
        <w:ind w:left="0" w:right="0" w:firstLine="644" w:firstLineChars="200"/>
        <w:jc w:val="both"/>
        <w:textAlignment w:val="auto"/>
        <w:outlineLvl w:val="2"/>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spacing w:val="1"/>
          <w:w w:val="100"/>
          <w:highlight w:val="none"/>
          <w:lang w:eastAsia="zh-CN"/>
        </w:rPr>
        <w:t>3.</w:t>
      </w:r>
      <w:r>
        <w:rPr>
          <w:rFonts w:hint="eastAsia" w:ascii="仿宋_GB2312" w:hAnsi="仿宋_GB2312" w:eastAsia="仿宋_GB2312" w:cs="仿宋_GB2312"/>
          <w:color w:val="auto"/>
          <w:w w:val="100"/>
          <w:highlight w:val="none"/>
          <w:lang w:eastAsia="zh-CN"/>
        </w:rPr>
        <w:t>1.3交</w:t>
      </w:r>
      <w:r>
        <w:rPr>
          <w:rFonts w:hint="eastAsia" w:ascii="仿宋_GB2312" w:hAnsi="仿宋_GB2312" w:eastAsia="仿宋_GB2312" w:cs="仿宋_GB2312"/>
          <w:color w:val="auto"/>
          <w:spacing w:val="2"/>
          <w:w w:val="100"/>
          <w:highlight w:val="none"/>
          <w:lang w:eastAsia="zh-CN"/>
        </w:rPr>
        <w:t>易组织</w:t>
      </w:r>
      <w:r>
        <w:rPr>
          <w:rFonts w:hint="eastAsia" w:ascii="仿宋_GB2312" w:hAnsi="仿宋_GB2312" w:eastAsia="仿宋_GB2312" w:cs="仿宋_GB2312"/>
          <w:color w:val="auto"/>
          <w:w w:val="100"/>
          <w:highlight w:val="none"/>
          <w:lang w:eastAsia="zh-CN"/>
        </w:rPr>
        <w:t>方式</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hAnsi="仿宋_GB2312" w:cs="仿宋_GB2312"/>
          <w:color w:val="auto"/>
          <w:w w:val="100"/>
          <w:highlight w:val="none"/>
          <w:lang w:eastAsia="zh-CN"/>
        </w:rPr>
      </w:pPr>
      <w:r>
        <w:rPr>
          <w:rFonts w:hint="eastAsia" w:hAnsi="仿宋_GB2312" w:cs="仿宋_GB2312"/>
          <w:color w:val="auto"/>
          <w:w w:val="100"/>
          <w:highlight w:val="none"/>
          <w:lang w:val="en-US" w:eastAsia="zh-CN"/>
        </w:rPr>
        <w:t>3.1.3.2</w:t>
      </w:r>
      <w:r>
        <w:rPr>
          <w:rFonts w:hint="eastAsia" w:hAnsi="仿宋_GB2312" w:cs="仿宋_GB2312"/>
          <w:color w:val="auto"/>
          <w:w w:val="100"/>
          <w:highlight w:val="none"/>
          <w:lang w:eastAsia="zh-CN"/>
        </w:rPr>
        <w:t>根据交易标的物组织方式不同，海南</w:t>
      </w:r>
      <w:r>
        <w:rPr>
          <w:rFonts w:hint="eastAsia" w:hAnsi="仿宋_GB2312" w:cs="仿宋_GB2312"/>
          <w:color w:val="auto"/>
          <w:w w:val="100"/>
          <w:highlight w:val="none"/>
          <w:lang w:val="en-US" w:eastAsia="zh-CN"/>
        </w:rPr>
        <w:t>中长期</w:t>
      </w:r>
      <w:r>
        <w:rPr>
          <w:rFonts w:hint="eastAsia" w:hAnsi="仿宋_GB2312" w:cs="仿宋_GB2312"/>
          <w:color w:val="auto"/>
          <w:w w:val="100"/>
          <w:highlight w:val="none"/>
          <w:lang w:eastAsia="zh-CN"/>
        </w:rPr>
        <w:t>电能量交易包括双边协商交易和集中交易两种方式。其中集中交易包括集中竞价交易、滚动撮合交易和挂牌交易三种形式。</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3.1.3.</w:t>
      </w:r>
      <w:r>
        <w:rPr>
          <w:rFonts w:hint="eastAsia" w:ascii="仿宋_GB2312" w:hAnsi="仿宋_GB2312" w:eastAsia="仿宋_GB2312" w:cs="仿宋_GB2312"/>
          <w:color w:val="auto"/>
          <w:w w:val="100"/>
          <w:highlight w:val="none"/>
          <w:lang w:val="en-US" w:eastAsia="zh-CN"/>
        </w:rPr>
        <w:t>2.</w:t>
      </w:r>
      <w:r>
        <w:rPr>
          <w:rFonts w:hint="eastAsia" w:ascii="仿宋_GB2312" w:hAnsi="仿宋_GB2312" w:eastAsia="仿宋_GB2312" w:cs="仿宋_GB2312"/>
          <w:color w:val="auto"/>
          <w:w w:val="100"/>
          <w:highlight w:val="none"/>
          <w:lang w:eastAsia="zh-CN"/>
        </w:rPr>
        <w:t>1双边协商交易：双边协商交易是指经营主体间通过自主协商形成交易结果的交易方式，由合同双方在规定时间节点前通过交易系统完成交易申报与确认，</w:t>
      </w:r>
      <w:r>
        <w:rPr>
          <w:rFonts w:hint="eastAsia" w:ascii="仿宋_GB2312" w:hAnsi="仿宋_GB2312" w:eastAsia="仿宋_GB2312" w:cs="仿宋_GB2312"/>
          <w:color w:val="auto"/>
          <w:w w:val="100"/>
          <w:highlight w:val="none"/>
          <w:lang w:val="en-US" w:eastAsia="zh-CN"/>
        </w:rPr>
        <w:t>可</w:t>
      </w:r>
      <w:r>
        <w:rPr>
          <w:rFonts w:hint="eastAsia" w:ascii="仿宋_GB2312" w:hAnsi="仿宋_GB2312" w:eastAsia="仿宋_GB2312" w:cs="仿宋_GB2312"/>
          <w:color w:val="auto"/>
          <w:w w:val="100"/>
          <w:highlight w:val="none"/>
          <w:lang w:eastAsia="zh-CN"/>
        </w:rPr>
        <w:t>采用自定义</w:t>
      </w:r>
      <w:r>
        <w:rPr>
          <w:rFonts w:hint="eastAsia" w:ascii="仿宋_GB2312" w:hAnsi="仿宋_GB2312" w:eastAsia="仿宋_GB2312" w:cs="仿宋_GB2312"/>
          <w:color w:val="auto"/>
          <w:w w:val="100"/>
          <w:highlight w:val="none"/>
          <w:lang w:val="en-US" w:eastAsia="zh-CN"/>
        </w:rPr>
        <w:t>或典型</w:t>
      </w:r>
      <w:r>
        <w:rPr>
          <w:rFonts w:hint="eastAsia" w:ascii="仿宋_GB2312" w:hAnsi="仿宋_GB2312" w:eastAsia="仿宋_GB2312" w:cs="仿宋_GB2312"/>
          <w:color w:val="auto"/>
          <w:w w:val="100"/>
          <w:highlight w:val="none"/>
          <w:lang w:eastAsia="zh-CN"/>
        </w:rPr>
        <w:t>分解曲线，经交易校核通过后生效。</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3.1.3.</w:t>
      </w:r>
      <w:r>
        <w:rPr>
          <w:rFonts w:hint="eastAsia" w:ascii="仿宋_GB2312" w:hAnsi="仿宋_GB2312" w:eastAsia="仿宋_GB2312" w:cs="仿宋_GB2312"/>
          <w:color w:val="auto"/>
          <w:w w:val="100"/>
          <w:highlight w:val="none"/>
          <w:lang w:val="en-US" w:eastAsia="zh-CN"/>
        </w:rPr>
        <w:t>2.</w:t>
      </w:r>
      <w:r>
        <w:rPr>
          <w:rFonts w:hint="eastAsia" w:ascii="仿宋_GB2312" w:hAnsi="仿宋_GB2312" w:eastAsia="仿宋_GB2312" w:cs="仿宋_GB2312"/>
          <w:color w:val="auto"/>
          <w:w w:val="100"/>
          <w:highlight w:val="none"/>
          <w:lang w:eastAsia="zh-CN"/>
        </w:rPr>
        <w:t>2集中竞价交易：集中竞价交易是指设置交易报价截止时间，交易系统汇总经营主体提交的交易申报信息，按照市场规则进行统一的市场出清，发布市场出清结果，采用</w:t>
      </w:r>
      <w:r>
        <w:rPr>
          <w:rFonts w:hint="eastAsia" w:ascii="仿宋_GB2312" w:hAnsi="仿宋_GB2312" w:eastAsia="仿宋_GB2312" w:cs="仿宋_GB2312"/>
          <w:color w:val="auto"/>
          <w:w w:val="100"/>
          <w:highlight w:val="none"/>
          <w:lang w:val="en-US" w:eastAsia="zh-CN"/>
        </w:rPr>
        <w:t>典型</w:t>
      </w:r>
      <w:r>
        <w:rPr>
          <w:rFonts w:hint="eastAsia" w:ascii="仿宋_GB2312" w:hAnsi="仿宋_GB2312" w:eastAsia="仿宋_GB2312" w:cs="仿宋_GB2312"/>
          <w:color w:val="auto"/>
          <w:w w:val="100"/>
          <w:highlight w:val="none"/>
          <w:lang w:eastAsia="zh-CN"/>
        </w:rPr>
        <w:t>分解曲线，经交易校核通过后生效。</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3.1.3.</w:t>
      </w:r>
      <w:r>
        <w:rPr>
          <w:rFonts w:hint="eastAsia" w:ascii="仿宋_GB2312" w:hAnsi="仿宋_GB2312" w:eastAsia="仿宋_GB2312" w:cs="仿宋_GB2312"/>
          <w:color w:val="auto"/>
          <w:w w:val="100"/>
          <w:highlight w:val="none"/>
          <w:lang w:val="en-US" w:eastAsia="zh-CN"/>
        </w:rPr>
        <w:t>2.</w:t>
      </w:r>
      <w:r>
        <w:rPr>
          <w:rFonts w:hint="eastAsia" w:ascii="仿宋_GB2312" w:hAnsi="仿宋_GB2312" w:eastAsia="仿宋_GB2312" w:cs="仿宋_GB2312"/>
          <w:color w:val="auto"/>
          <w:w w:val="100"/>
          <w:highlight w:val="none"/>
          <w:lang w:eastAsia="zh-CN"/>
        </w:rPr>
        <w:t>3滚动撮合交易：滚动撮合交易是指在规定的交易起止时间内，经营主体可以随时提交购电或者售电信息，交易系统按照价格优先、时间优先的原则进行滚动撮合成交，采用</w:t>
      </w:r>
      <w:r>
        <w:rPr>
          <w:rFonts w:hint="eastAsia" w:ascii="仿宋_GB2312" w:hAnsi="仿宋_GB2312" w:eastAsia="仿宋_GB2312" w:cs="仿宋_GB2312"/>
          <w:color w:val="auto"/>
          <w:w w:val="100"/>
          <w:highlight w:val="none"/>
          <w:lang w:val="en-US" w:eastAsia="zh-CN"/>
        </w:rPr>
        <w:t>典型</w:t>
      </w:r>
      <w:r>
        <w:rPr>
          <w:rFonts w:hint="eastAsia" w:ascii="仿宋_GB2312" w:hAnsi="仿宋_GB2312" w:eastAsia="仿宋_GB2312" w:cs="仿宋_GB2312"/>
          <w:color w:val="auto"/>
          <w:w w:val="100"/>
          <w:highlight w:val="none"/>
          <w:lang w:eastAsia="zh-CN"/>
        </w:rPr>
        <w:t>分解曲线，经交易校核通过后生效。</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3.1.3.</w:t>
      </w:r>
      <w:r>
        <w:rPr>
          <w:rFonts w:hint="eastAsia" w:ascii="仿宋_GB2312" w:hAnsi="仿宋_GB2312" w:eastAsia="仿宋_GB2312" w:cs="仿宋_GB2312"/>
          <w:color w:val="auto"/>
          <w:w w:val="100"/>
          <w:highlight w:val="none"/>
          <w:lang w:val="en-US" w:eastAsia="zh-CN"/>
        </w:rPr>
        <w:t>2.</w:t>
      </w:r>
      <w:r>
        <w:rPr>
          <w:rFonts w:hint="eastAsia" w:ascii="仿宋_GB2312" w:hAnsi="仿宋_GB2312" w:eastAsia="仿宋_GB2312" w:cs="仿宋_GB2312"/>
          <w:color w:val="auto"/>
          <w:w w:val="100"/>
          <w:highlight w:val="none"/>
          <w:lang w:eastAsia="zh-CN"/>
        </w:rPr>
        <w:t>4挂牌交易：挂牌交易是指经营主体通过交易系统，将需求电量或者可提供电量的数量和价格等信息对外发布要约，由符合资格要求的另一方提出接受该要约的申请。</w:t>
      </w:r>
      <w:r>
        <w:rPr>
          <w:rFonts w:hint="eastAsia" w:ascii="仿宋_GB2312" w:hAnsi="仿宋_GB2312" w:eastAsia="仿宋_GB2312" w:cs="仿宋_GB2312"/>
          <w:color w:val="auto"/>
          <w:w w:val="100"/>
          <w:highlight w:val="none"/>
          <w:lang w:val="en-US" w:eastAsia="zh-CN"/>
        </w:rPr>
        <w:t>可</w:t>
      </w:r>
      <w:r>
        <w:rPr>
          <w:rFonts w:hint="eastAsia" w:ascii="仿宋_GB2312" w:hAnsi="仿宋_GB2312" w:eastAsia="仿宋_GB2312" w:cs="仿宋_GB2312"/>
          <w:color w:val="auto"/>
          <w:w w:val="100"/>
          <w:highlight w:val="none"/>
          <w:lang w:eastAsia="zh-CN"/>
        </w:rPr>
        <w:t>采用自定义</w:t>
      </w:r>
      <w:r>
        <w:rPr>
          <w:rFonts w:hint="eastAsia" w:ascii="仿宋_GB2312" w:hAnsi="仿宋_GB2312" w:eastAsia="仿宋_GB2312" w:cs="仿宋_GB2312"/>
          <w:color w:val="auto"/>
          <w:w w:val="100"/>
          <w:highlight w:val="none"/>
          <w:lang w:val="en-US" w:eastAsia="zh-CN"/>
        </w:rPr>
        <w:t>或典型</w:t>
      </w:r>
      <w:r>
        <w:rPr>
          <w:rFonts w:hint="eastAsia" w:ascii="仿宋_GB2312" w:hAnsi="仿宋_GB2312" w:eastAsia="仿宋_GB2312" w:cs="仿宋_GB2312"/>
          <w:color w:val="auto"/>
          <w:w w:val="100"/>
          <w:highlight w:val="none"/>
          <w:lang w:eastAsia="zh-CN"/>
        </w:rPr>
        <w:t>分解曲线，经交易校核通过后生效。</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3.1.3.</w:t>
      </w:r>
      <w:r>
        <w:rPr>
          <w:rFonts w:hint="eastAsia" w:ascii="仿宋_GB2312" w:hAnsi="仿宋_GB2312" w:eastAsia="仿宋_GB2312" w:cs="仿宋_GB2312"/>
          <w:color w:val="auto"/>
          <w:w w:val="100"/>
          <w:highlight w:val="none"/>
          <w:lang w:val="en-US" w:eastAsia="zh-CN"/>
        </w:rPr>
        <w:t>2.</w:t>
      </w:r>
      <w:r>
        <w:rPr>
          <w:rFonts w:hint="eastAsia" w:ascii="仿宋_GB2312" w:hAnsi="仿宋_GB2312" w:eastAsia="仿宋_GB2312" w:cs="仿宋_GB2312"/>
          <w:color w:val="auto"/>
          <w:w w:val="100"/>
          <w:highlight w:val="none"/>
          <w:lang w:eastAsia="zh-CN"/>
        </w:rPr>
        <w:t>5以双边协商和滚动撮合形式开展的电力中长期交易具备条件后连续开市，以集中竞价交易形式开展的电力中长期交易应当实现定期开市。双边合同在双边交易申报截止时间前均可提交或者修改。</w:t>
      </w:r>
    </w:p>
    <w:p>
      <w:pPr>
        <w:pStyle w:val="7"/>
        <w:pageBreakBefore w:val="0"/>
        <w:kinsoku/>
        <w:wordWrap/>
        <w:overflowPunct/>
        <w:topLinePunct w:val="0"/>
        <w:autoSpaceDE/>
        <w:autoSpaceDN/>
        <w:bidi w:val="0"/>
        <w:adjustRightInd/>
        <w:spacing w:line="560" w:lineRule="exact"/>
        <w:ind w:left="0" w:right="0" w:firstLine="643" w:firstLineChars="200"/>
        <w:jc w:val="both"/>
        <w:textAlignment w:val="auto"/>
        <w:outlineLvl w:val="1"/>
        <w:rPr>
          <w:rFonts w:hint="eastAsia" w:ascii="仿宋_GB2312" w:hAnsi="仿宋_GB2312" w:eastAsia="仿宋_GB2312" w:cs="仿宋_GB2312"/>
          <w:b/>
          <w:bCs/>
          <w:color w:val="auto"/>
          <w:w w:val="100"/>
          <w:kern w:val="44"/>
          <w:highlight w:val="none"/>
          <w:lang w:eastAsia="zh-CN"/>
        </w:rPr>
      </w:pPr>
      <w:r>
        <w:rPr>
          <w:rFonts w:hint="eastAsia" w:ascii="仿宋_GB2312" w:hAnsi="仿宋_GB2312" w:eastAsia="仿宋_GB2312" w:cs="仿宋_GB2312"/>
          <w:b/>
          <w:bCs/>
          <w:color w:val="auto"/>
          <w:w w:val="100"/>
          <w:kern w:val="44"/>
          <w:highlight w:val="none"/>
          <w:lang w:eastAsia="zh-CN"/>
        </w:rPr>
        <w:t>3.2中长期与现货市场衔接</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2"/>
        <w:rPr>
          <w:rFonts w:ascii="仿宋_GB2312" w:hAnsi="仿宋_GB2312" w:eastAsia="仿宋_GB2312" w:cs="仿宋_GB2312"/>
          <w:b w:val="0"/>
          <w:bCs w:val="0"/>
          <w:color w:val="auto"/>
          <w:w w:val="100"/>
          <w:highlight w:val="none"/>
          <w:lang w:eastAsia="zh-CN"/>
        </w:rPr>
      </w:pPr>
      <w:r>
        <w:rPr>
          <w:rFonts w:hint="eastAsia" w:ascii="仿宋_GB2312" w:hAnsi="仿宋_GB2312" w:eastAsia="仿宋_GB2312" w:cs="仿宋_GB2312"/>
          <w:b w:val="0"/>
          <w:bCs w:val="0"/>
          <w:color w:val="auto"/>
          <w:w w:val="100"/>
          <w:kern w:val="44"/>
          <w:highlight w:val="none"/>
          <w:lang w:val="en-US" w:eastAsia="zh-CN"/>
        </w:rPr>
        <w:t>3.2.1</w:t>
      </w:r>
      <w:r>
        <w:rPr>
          <w:rFonts w:hint="eastAsia" w:ascii="仿宋_GB2312" w:hAnsi="仿宋_GB2312" w:eastAsia="仿宋_GB2312" w:cs="仿宋_GB2312"/>
          <w:b w:val="0"/>
          <w:bCs w:val="0"/>
          <w:color w:val="auto"/>
          <w:w w:val="100"/>
          <w:highlight w:val="none"/>
          <w:lang w:eastAsia="zh-CN"/>
        </w:rPr>
        <w:t>跨省中长期</w:t>
      </w:r>
      <w:r>
        <w:rPr>
          <w:rFonts w:hint="eastAsia" w:ascii="仿宋_GB2312" w:hAnsi="仿宋_GB2312" w:eastAsia="仿宋_GB2312" w:cs="仿宋_GB2312"/>
          <w:b w:val="0"/>
          <w:bCs w:val="0"/>
          <w:color w:val="auto"/>
          <w:w w:val="100"/>
          <w:highlight w:val="none"/>
          <w:lang w:val="en-US" w:eastAsia="zh-CN"/>
        </w:rPr>
        <w:t>电能量</w:t>
      </w:r>
      <w:r>
        <w:rPr>
          <w:rFonts w:hint="eastAsia" w:ascii="仿宋_GB2312" w:hAnsi="仿宋_GB2312" w:eastAsia="仿宋_GB2312" w:cs="仿宋_GB2312"/>
          <w:b w:val="0"/>
          <w:bCs w:val="0"/>
          <w:color w:val="auto"/>
          <w:w w:val="100"/>
          <w:highlight w:val="none"/>
          <w:lang w:eastAsia="zh-CN"/>
        </w:rPr>
        <w:t>交易</w:t>
      </w:r>
      <w:r>
        <w:rPr>
          <w:rFonts w:hint="eastAsia" w:ascii="仿宋_GB2312" w:hAnsi="仿宋_GB2312" w:eastAsia="仿宋_GB2312" w:cs="仿宋_GB2312"/>
          <w:b w:val="0"/>
          <w:bCs w:val="0"/>
          <w:color w:val="auto"/>
          <w:w w:val="100"/>
          <w:highlight w:val="none"/>
          <w:lang w:val="en-US" w:eastAsia="zh-CN"/>
        </w:rPr>
        <w:t>与现货交易</w:t>
      </w:r>
      <w:r>
        <w:rPr>
          <w:rFonts w:hint="eastAsia" w:ascii="仿宋_GB2312" w:hAnsi="仿宋_GB2312" w:eastAsia="仿宋_GB2312" w:cs="仿宋_GB2312"/>
          <w:b w:val="0"/>
          <w:bCs w:val="0"/>
          <w:color w:val="auto"/>
          <w:w w:val="100"/>
          <w:highlight w:val="none"/>
          <w:lang w:eastAsia="zh-CN"/>
        </w:rPr>
        <w:t>衔接</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跨省中长期</w:t>
      </w:r>
      <w:r>
        <w:rPr>
          <w:rFonts w:hint="eastAsia" w:ascii="仿宋_GB2312" w:hAnsi="仿宋_GB2312" w:eastAsia="仿宋_GB2312" w:cs="仿宋_GB2312"/>
          <w:color w:val="auto"/>
          <w:w w:val="100"/>
          <w:highlight w:val="none"/>
          <w:lang w:val="en-US" w:eastAsia="zh-CN"/>
        </w:rPr>
        <w:t>电能量</w:t>
      </w:r>
      <w:r>
        <w:rPr>
          <w:rFonts w:hint="eastAsia" w:ascii="仿宋_GB2312" w:hAnsi="仿宋_GB2312" w:eastAsia="仿宋_GB2312" w:cs="仿宋_GB2312"/>
          <w:color w:val="auto"/>
          <w:w w:val="100"/>
          <w:highlight w:val="none"/>
          <w:lang w:eastAsia="zh-CN"/>
        </w:rPr>
        <w:t>交易由广州电力交易中心统筹组织开展，</w:t>
      </w:r>
      <w:r>
        <w:rPr>
          <w:rFonts w:hint="eastAsia" w:ascii="仿宋_GB2312" w:hAnsi="仿宋_GB2312" w:eastAsia="仿宋_GB2312" w:cs="仿宋_GB2312"/>
          <w:color w:val="auto"/>
          <w:w w:val="100"/>
          <w:highlight w:val="none"/>
          <w:lang w:val="en-US" w:eastAsia="zh-CN"/>
        </w:rPr>
        <w:t>海南</w:t>
      </w:r>
      <w:r>
        <w:rPr>
          <w:rFonts w:hint="eastAsia" w:ascii="仿宋_GB2312" w:hAnsi="仿宋_GB2312" w:eastAsia="仿宋_GB2312" w:cs="仿宋_GB2312"/>
          <w:color w:val="auto"/>
          <w:w w:val="100"/>
          <w:highlight w:val="none"/>
          <w:lang w:eastAsia="zh-CN"/>
        </w:rPr>
        <w:t>省内经营主体的跨省中长期</w:t>
      </w:r>
      <w:r>
        <w:rPr>
          <w:rFonts w:hint="eastAsia" w:ascii="仿宋_GB2312" w:hAnsi="仿宋_GB2312" w:eastAsia="仿宋_GB2312" w:cs="仿宋_GB2312"/>
          <w:color w:val="auto"/>
          <w:w w:val="100"/>
          <w:highlight w:val="none"/>
          <w:lang w:val="en-US" w:eastAsia="zh-CN"/>
        </w:rPr>
        <w:t>电能量交易</w:t>
      </w:r>
      <w:r>
        <w:rPr>
          <w:rFonts w:hint="eastAsia" w:ascii="仿宋_GB2312" w:hAnsi="仿宋_GB2312" w:eastAsia="仿宋_GB2312" w:cs="仿宋_GB2312"/>
          <w:color w:val="auto"/>
          <w:w w:val="100"/>
          <w:highlight w:val="none"/>
          <w:lang w:eastAsia="zh-CN"/>
        </w:rPr>
        <w:t>电量，按如下原则衔接：</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跨省中长期市场化交易按照单个送电类别</w:t>
      </w:r>
      <w:r>
        <w:rPr>
          <w:rFonts w:hint="eastAsia" w:ascii="仿宋_GB2312" w:hAnsi="仿宋_GB2312" w:eastAsia="仿宋_GB2312" w:cs="仿宋_GB2312"/>
          <w:color w:val="auto"/>
          <w:w w:val="100"/>
          <w:highlight w:val="none"/>
          <w:lang w:val="en-US" w:eastAsia="zh-CN"/>
        </w:rPr>
        <w:t>进行</w:t>
      </w:r>
      <w:r>
        <w:rPr>
          <w:rFonts w:hint="eastAsia" w:ascii="仿宋_GB2312" w:hAnsi="仿宋_GB2312" w:eastAsia="仿宋_GB2312" w:cs="仿宋_GB2312"/>
          <w:color w:val="auto"/>
          <w:w w:val="100"/>
          <w:highlight w:val="none"/>
          <w:lang w:eastAsia="zh-CN"/>
        </w:rPr>
        <w:t>合约</w:t>
      </w:r>
      <w:r>
        <w:rPr>
          <w:rFonts w:hint="eastAsia" w:ascii="仿宋_GB2312" w:hAnsi="仿宋_GB2312" w:eastAsia="仿宋_GB2312" w:cs="仿宋_GB2312"/>
          <w:color w:val="auto"/>
          <w:w w:val="100"/>
          <w:highlight w:val="none"/>
          <w:lang w:val="en-US" w:eastAsia="zh-CN"/>
        </w:rPr>
        <w:t>分解</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w w:val="100"/>
          <w:highlight w:val="none"/>
          <w:lang w:val="en-US" w:eastAsia="zh-CN"/>
        </w:rPr>
        <w:t>合约成交方应在交割日（D日）前依据分解原则完成</w:t>
      </w:r>
      <w:r>
        <w:rPr>
          <w:rFonts w:hint="eastAsia" w:ascii="仿宋_GB2312" w:hAnsi="仿宋_GB2312" w:eastAsia="仿宋_GB2312" w:cs="仿宋_GB2312"/>
          <w:color w:val="auto"/>
          <w:w w:val="100"/>
          <w:highlight w:val="none"/>
          <w:lang w:eastAsia="zh-CN"/>
        </w:rPr>
        <w:t>分解</w:t>
      </w:r>
      <w:r>
        <w:rPr>
          <w:rFonts w:hint="eastAsia" w:ascii="仿宋_GB2312" w:hAnsi="仿宋_GB2312" w:eastAsia="仿宋_GB2312" w:cs="仿宋_GB2312"/>
          <w:color w:val="auto"/>
          <w:w w:val="100"/>
          <w:highlight w:val="none"/>
          <w:lang w:val="en-US" w:eastAsia="zh-CN"/>
        </w:rPr>
        <w:t>并报送广州电力交易中心</w:t>
      </w:r>
      <w:r>
        <w:rPr>
          <w:rFonts w:hint="eastAsia" w:ascii="仿宋_GB2312" w:hAnsi="仿宋_GB2312" w:eastAsia="仿宋_GB2312" w:cs="仿宋_GB2312"/>
          <w:color w:val="auto"/>
          <w:w w:val="100"/>
          <w:highlight w:val="none"/>
          <w:lang w:eastAsia="zh-CN"/>
        </w:rPr>
        <w:t>，分解后每个时刻点电量之和与原合约约定的曲线保持一致。</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2"/>
        <w:rPr>
          <w:rFonts w:hint="default" w:ascii="仿宋_GB2312" w:hAnsi="仿宋_GB2312" w:eastAsia="仿宋_GB2312" w:cs="仿宋_GB2312"/>
          <w:color w:val="auto"/>
          <w:w w:val="100"/>
          <w:highlight w:val="none"/>
          <w:lang w:val="en-US" w:eastAsia="zh-CN"/>
        </w:rPr>
      </w:pPr>
      <w:r>
        <w:rPr>
          <w:rFonts w:hint="eastAsia" w:ascii="仿宋_GB2312" w:hAnsi="仿宋_GB2312" w:eastAsia="仿宋_GB2312" w:cs="仿宋_GB2312"/>
          <w:b w:val="0"/>
          <w:bCs w:val="0"/>
          <w:color w:val="auto"/>
          <w:w w:val="100"/>
          <w:highlight w:val="none"/>
          <w:lang w:val="en-US" w:eastAsia="zh-CN"/>
        </w:rPr>
        <w:t>3.2.2省内中长期电能量交易与现货交易衔接</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color w:val="auto"/>
          <w:w w:val="100"/>
          <w:highlight w:val="none"/>
          <w:lang w:eastAsia="zh-CN"/>
        </w:rPr>
      </w:pPr>
      <w:r>
        <w:rPr>
          <w:rFonts w:hint="eastAsia" w:ascii="仿宋_GB2312" w:hAnsi="仿宋_GB2312" w:eastAsia="仿宋_GB2312" w:cs="仿宋_GB2312"/>
          <w:color w:val="auto"/>
          <w:w w:val="100"/>
          <w:highlight w:val="none"/>
          <w:lang w:val="en-US" w:eastAsia="zh-CN"/>
        </w:rPr>
        <w:t>结算试运行月份，省内中长期电能量交易应实现按周定期开市。具备条件时，在D-2日前组织发电企业、售电公司、电力批发用户和电网企业开展标的时段为D日至月底全部日期或部分日期的双边协商或集中交易，如遇节假日可相应提前组织。</w:t>
      </w:r>
    </w:p>
    <w:p>
      <w:pPr>
        <w:pStyle w:val="7"/>
        <w:pageBreakBefore w:val="0"/>
        <w:numPr>
          <w:ilvl w:val="255"/>
          <w:numId w:val="0"/>
        </w:numPr>
        <w:kinsoku/>
        <w:wordWrap/>
        <w:overflowPunct/>
        <w:topLinePunct w:val="0"/>
        <w:autoSpaceDE/>
        <w:autoSpaceDN/>
        <w:bidi w:val="0"/>
        <w:adjustRightInd/>
        <w:spacing w:line="560" w:lineRule="exact"/>
        <w:ind w:left="0" w:right="0" w:firstLine="643" w:firstLineChars="200"/>
        <w:jc w:val="both"/>
        <w:textAlignment w:val="auto"/>
        <w:outlineLvl w:val="1"/>
        <w:rPr>
          <w:rFonts w:ascii="仿宋_GB2312" w:hAnsi="仿宋_GB2312" w:eastAsia="仿宋_GB2312" w:cs="仿宋_GB2312"/>
          <w:b/>
          <w:bCs/>
          <w:color w:val="auto"/>
          <w:w w:val="100"/>
          <w:highlight w:val="none"/>
          <w:lang w:eastAsia="zh-CN"/>
        </w:rPr>
      </w:pPr>
      <w:bookmarkStart w:id="15" w:name="_Toc9960"/>
      <w:r>
        <w:rPr>
          <w:rFonts w:hint="eastAsia" w:ascii="仿宋_GB2312" w:hAnsi="仿宋_GB2312" w:eastAsia="仿宋_GB2312" w:cs="仿宋_GB2312"/>
          <w:b/>
          <w:bCs/>
          <w:color w:val="auto"/>
          <w:w w:val="100"/>
          <w:highlight w:val="none"/>
          <w:lang w:eastAsia="zh-CN"/>
        </w:rPr>
        <w:t>3.</w:t>
      </w:r>
      <w:r>
        <w:rPr>
          <w:rFonts w:hint="eastAsia" w:ascii="仿宋_GB2312" w:hAnsi="仿宋_GB2312" w:eastAsia="仿宋_GB2312" w:cs="仿宋_GB2312"/>
          <w:b/>
          <w:bCs/>
          <w:color w:val="auto"/>
          <w:w w:val="100"/>
          <w:highlight w:val="none"/>
          <w:lang w:val="en-US" w:eastAsia="zh-CN"/>
        </w:rPr>
        <w:t>3</w:t>
      </w:r>
      <w:r>
        <w:rPr>
          <w:rFonts w:hint="eastAsia" w:ascii="仿宋_GB2312" w:hAnsi="仿宋_GB2312" w:eastAsia="仿宋_GB2312" w:cs="仿宋_GB2312"/>
          <w:b/>
          <w:bCs/>
          <w:color w:val="auto"/>
          <w:w w:val="100"/>
          <w:highlight w:val="none"/>
          <w:lang w:eastAsia="zh-CN"/>
        </w:rPr>
        <w:t>合同要素</w:t>
      </w:r>
      <w:bookmarkEnd w:id="15"/>
    </w:p>
    <w:p>
      <w:pPr>
        <w:pStyle w:val="7"/>
        <w:pageBreakBefore w:val="0"/>
        <w:tabs>
          <w:tab w:val="left" w:pos="1799"/>
        </w:tabs>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kern w:val="2"/>
          <w:highlight w:val="none"/>
          <w:lang w:eastAsia="zh-CN"/>
        </w:rPr>
        <w:t>中长期电能量交易合同应具备交易单元、合同周期、合同电量、电</w:t>
      </w:r>
      <w:r>
        <w:rPr>
          <w:rFonts w:hint="eastAsia" w:ascii="仿宋_GB2312" w:hAnsi="仿宋_GB2312" w:eastAsia="仿宋_GB2312" w:cs="仿宋_GB2312"/>
          <w:color w:val="auto"/>
          <w:w w:val="100"/>
          <w:highlight w:val="none"/>
          <w:lang w:eastAsia="zh-CN"/>
        </w:rPr>
        <w:t>力曲线或曲线分解机制、交易价格或价格机制、结算参考点等合同要素。</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outlineLvl w:val="2"/>
        <w:rPr>
          <w:rFonts w:hAnsi="仿宋_GB2312" w:cs="仿宋_GB2312"/>
          <w:color w:val="auto"/>
          <w:w w:val="100"/>
          <w:highlight w:val="none"/>
        </w:rPr>
      </w:pPr>
      <w:r>
        <w:rPr>
          <w:rFonts w:hint="eastAsia" w:hAnsi="仿宋_GB2312" w:cs="仿宋_GB2312"/>
          <w:color w:val="auto"/>
          <w:w w:val="100"/>
          <w:highlight w:val="none"/>
        </w:rPr>
        <w:t>3.</w:t>
      </w:r>
      <w:r>
        <w:rPr>
          <w:rFonts w:hint="eastAsia" w:hAnsi="仿宋_GB2312" w:cs="仿宋_GB2312"/>
          <w:color w:val="auto"/>
          <w:w w:val="100"/>
          <w:highlight w:val="none"/>
          <w:lang w:val="en-US" w:eastAsia="zh-CN"/>
        </w:rPr>
        <w:t>3</w:t>
      </w:r>
      <w:r>
        <w:rPr>
          <w:rFonts w:hint="eastAsia" w:hAnsi="仿宋_GB2312" w:cs="仿宋_GB2312"/>
          <w:color w:val="auto"/>
          <w:w w:val="100"/>
          <w:highlight w:val="none"/>
        </w:rPr>
        <w:t>.1交易单元</w:t>
      </w:r>
    </w:p>
    <w:p>
      <w:pPr>
        <w:pStyle w:val="20"/>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hAnsi="仿宋_GB2312" w:cs="仿宋_GB2312"/>
          <w:color w:val="auto"/>
          <w:spacing w:val="6"/>
          <w:w w:val="100"/>
          <w:highlight w:val="none"/>
          <w:lang w:val="en-US" w:eastAsia="zh-CN"/>
        </w:rPr>
      </w:pPr>
      <w:r>
        <w:rPr>
          <w:rFonts w:hint="eastAsia" w:hAnsi="仿宋_GB2312" w:cs="仿宋_GB2312"/>
          <w:color w:val="auto"/>
          <w:w w:val="100"/>
          <w:highlight w:val="none"/>
          <w:lang w:val="en-US" w:eastAsia="zh-CN"/>
        </w:rPr>
        <w:t>经营</w:t>
      </w:r>
      <w:r>
        <w:rPr>
          <w:rFonts w:hint="eastAsia" w:hAnsi="仿宋_GB2312" w:cs="仿宋_GB2312"/>
          <w:color w:val="auto"/>
          <w:w w:val="100"/>
          <w:highlight w:val="none"/>
        </w:rPr>
        <w:t>主体按交易单元参与中长期</w:t>
      </w:r>
      <w:r>
        <w:rPr>
          <w:rFonts w:hint="eastAsia" w:hAnsi="仿宋_GB2312" w:cs="仿宋_GB2312"/>
          <w:color w:val="auto"/>
          <w:w w:val="100"/>
          <w:highlight w:val="none"/>
          <w:lang w:val="en-US" w:eastAsia="zh-CN"/>
        </w:rPr>
        <w:t>电能量</w:t>
      </w:r>
      <w:r>
        <w:rPr>
          <w:rFonts w:hint="eastAsia" w:hAnsi="仿宋_GB2312" w:cs="仿宋_GB2312"/>
          <w:color w:val="auto"/>
          <w:w w:val="100"/>
          <w:highlight w:val="none"/>
        </w:rPr>
        <w:t>交易，中长期交易的成交双方不能为同一交易单元。</w:t>
      </w:r>
    </w:p>
    <w:p>
      <w:pPr>
        <w:pStyle w:val="20"/>
        <w:keepNext w:val="0"/>
        <w:keepLines w:val="0"/>
        <w:pageBreakBefore w:val="0"/>
        <w:widowControl/>
        <w:kinsoku/>
        <w:wordWrap/>
        <w:overflowPunct/>
        <w:topLinePunct w:val="0"/>
        <w:autoSpaceDE/>
        <w:autoSpaceDN/>
        <w:bidi w:val="0"/>
        <w:adjustRightInd/>
        <w:snapToGrid/>
        <w:spacing w:line="560" w:lineRule="exact"/>
        <w:ind w:left="0" w:right="0" w:firstLine="664" w:firstLineChars="200"/>
        <w:jc w:val="both"/>
        <w:textAlignment w:val="auto"/>
        <w:outlineLvl w:val="9"/>
        <w:rPr>
          <w:rFonts w:hAnsi="仿宋_GB2312" w:cs="仿宋_GB2312"/>
          <w:color w:val="auto"/>
          <w:w w:val="100"/>
          <w:highlight w:val="none"/>
        </w:rPr>
      </w:pPr>
      <w:r>
        <w:rPr>
          <w:rFonts w:hint="eastAsia" w:hAnsi="仿宋_GB2312" w:cs="仿宋_GB2312"/>
          <w:color w:val="auto"/>
          <w:spacing w:val="6"/>
          <w:w w:val="100"/>
          <w:highlight w:val="none"/>
          <w:lang w:val="en-US" w:eastAsia="zh-CN"/>
        </w:rPr>
        <w:t>3.3.1.1</w:t>
      </w:r>
      <w:r>
        <w:rPr>
          <w:rFonts w:hint="eastAsia" w:hAnsi="仿宋_GB2312" w:cs="仿宋_GB2312"/>
          <w:color w:val="auto"/>
          <w:spacing w:val="6"/>
          <w:w w:val="100"/>
          <w:highlight w:val="none"/>
        </w:rPr>
        <w:t>发电侧并网主体按照交易单元参与电力市场。原则上，风电、光伏等</w:t>
      </w:r>
      <w:r>
        <w:rPr>
          <w:rFonts w:hint="eastAsia" w:hAnsi="仿宋_GB2312" w:cs="仿宋_GB2312"/>
          <w:color w:val="auto"/>
          <w:spacing w:val="6"/>
          <w:w w:val="100"/>
          <w:highlight w:val="none"/>
          <w:lang w:val="en-US" w:eastAsia="zh-CN"/>
        </w:rPr>
        <w:t>新能源发电企业</w:t>
      </w:r>
      <w:r>
        <w:rPr>
          <w:rFonts w:hint="eastAsia" w:hAnsi="仿宋_GB2312" w:cs="仿宋_GB2312"/>
          <w:color w:val="auto"/>
          <w:spacing w:val="6"/>
          <w:w w:val="100"/>
          <w:highlight w:val="none"/>
        </w:rPr>
        <w:t>以接入同一个上网节点、执行相同标准补贴政策</w:t>
      </w:r>
      <w:r>
        <w:rPr>
          <w:rFonts w:hint="eastAsia" w:hAnsi="仿宋_GB2312" w:cs="仿宋_GB2312"/>
          <w:color w:val="auto"/>
          <w:spacing w:val="6"/>
          <w:w w:val="100"/>
          <w:highlight w:val="none"/>
          <w:lang w:eastAsia="zh-CN"/>
        </w:rPr>
        <w:t>且</w:t>
      </w:r>
      <w:r>
        <w:rPr>
          <w:rFonts w:hint="eastAsia" w:hAnsi="仿宋_GB2312" w:cs="仿宋_GB2312"/>
          <w:color w:val="auto"/>
          <w:spacing w:val="6"/>
          <w:w w:val="100"/>
          <w:highlight w:val="none"/>
        </w:rPr>
        <w:t>属于同一法人单位的为一个交易单元参与电力市场；燃煤、核电等类型电厂以机组为交易单元参与电力市场；燃气等类型电厂以套机为交易单元参与电力市场，对于接入不同上网节点的，则以机组为交易单元参与电力市场。</w:t>
      </w:r>
    </w:p>
    <w:p>
      <w:pPr>
        <w:pStyle w:val="20"/>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hAnsi="仿宋_GB2312" w:cs="仿宋_GB2312"/>
          <w:color w:val="auto"/>
          <w:spacing w:val="1"/>
          <w:w w:val="100"/>
          <w:highlight w:val="none"/>
          <w:lang w:eastAsia="zh-CN"/>
        </w:rPr>
      </w:pPr>
      <w:r>
        <w:rPr>
          <w:rFonts w:hint="eastAsia" w:hAnsi="仿宋_GB2312" w:cs="仿宋_GB2312"/>
          <w:color w:val="auto"/>
          <w:w w:val="100"/>
          <w:highlight w:val="none"/>
        </w:rPr>
        <w:t>3.</w:t>
      </w:r>
      <w:r>
        <w:rPr>
          <w:rFonts w:hint="eastAsia" w:hAnsi="仿宋_GB2312" w:cs="仿宋_GB2312"/>
          <w:color w:val="auto"/>
          <w:w w:val="100"/>
          <w:highlight w:val="none"/>
          <w:lang w:val="en-US" w:eastAsia="zh-CN"/>
        </w:rPr>
        <w:t>3</w:t>
      </w:r>
      <w:r>
        <w:rPr>
          <w:rFonts w:hint="eastAsia" w:hAnsi="仿宋_GB2312" w:cs="仿宋_GB2312"/>
          <w:color w:val="auto"/>
          <w:w w:val="100"/>
          <w:highlight w:val="none"/>
        </w:rPr>
        <w:t>.1.2售电公司和</w:t>
      </w:r>
      <w:r>
        <w:rPr>
          <w:rFonts w:hint="eastAsia" w:hAnsi="仿宋_GB2312" w:cs="仿宋_GB2312"/>
          <w:color w:val="auto"/>
          <w:w w:val="100"/>
          <w:highlight w:val="none"/>
          <w:lang w:val="en-US" w:eastAsia="zh-CN"/>
        </w:rPr>
        <w:t>电力</w:t>
      </w:r>
      <w:r>
        <w:rPr>
          <w:rFonts w:hint="eastAsia" w:hAnsi="仿宋_GB2312" w:cs="仿宋_GB2312"/>
          <w:color w:val="auto"/>
          <w:w w:val="100"/>
          <w:highlight w:val="none"/>
        </w:rPr>
        <w:t>批发用户</w:t>
      </w:r>
      <w:r>
        <w:rPr>
          <w:rFonts w:hint="eastAsia" w:hAnsi="仿宋_GB2312" w:cs="仿宋_GB2312"/>
          <w:color w:val="auto"/>
          <w:w w:val="100"/>
          <w:highlight w:val="none"/>
          <w:lang w:val="en-US" w:eastAsia="zh-CN"/>
        </w:rPr>
        <w:t>原则上</w:t>
      </w:r>
      <w:r>
        <w:rPr>
          <w:rFonts w:hint="eastAsia" w:hAnsi="仿宋_GB2312" w:cs="仿宋_GB2312"/>
          <w:color w:val="auto"/>
          <w:spacing w:val="1"/>
          <w:w w:val="100"/>
          <w:highlight w:val="none"/>
        </w:rPr>
        <w:t>以法人单位为交易单元参与中长期交易</w:t>
      </w:r>
      <w:r>
        <w:rPr>
          <w:rFonts w:hint="eastAsia" w:hAnsi="仿宋_GB2312" w:cs="仿宋_GB2312"/>
          <w:color w:val="auto"/>
          <w:spacing w:val="1"/>
          <w:w w:val="100"/>
          <w:highlight w:val="none"/>
          <w:lang w:eastAsia="zh-CN"/>
        </w:rPr>
        <w:t>。</w:t>
      </w:r>
    </w:p>
    <w:p>
      <w:pPr>
        <w:pStyle w:val="7"/>
        <w:pageBreakBefore w:val="0"/>
        <w:tabs>
          <w:tab w:val="left" w:pos="1380"/>
        </w:tabs>
        <w:kinsoku/>
        <w:wordWrap/>
        <w:overflowPunct/>
        <w:topLinePunct w:val="0"/>
        <w:autoSpaceDE/>
        <w:autoSpaceDN/>
        <w:bidi w:val="0"/>
        <w:adjustRightInd/>
        <w:spacing w:line="560" w:lineRule="exact"/>
        <w:ind w:left="0" w:right="0" w:firstLine="640" w:firstLineChars="200"/>
        <w:jc w:val="both"/>
        <w:textAlignment w:val="auto"/>
        <w:outlineLvl w:val="2"/>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w:t>
      </w:r>
      <w:r>
        <w:rPr>
          <w:rFonts w:hint="eastAsia" w:ascii="仿宋_GB2312" w:hAnsi="仿宋_GB2312" w:eastAsia="仿宋_GB2312" w:cs="仿宋_GB2312"/>
          <w:color w:val="auto"/>
          <w:w w:val="100"/>
          <w:highlight w:val="none"/>
          <w:lang w:val="en-US" w:eastAsia="zh-CN"/>
        </w:rPr>
        <w:t>3</w:t>
      </w:r>
      <w:r>
        <w:rPr>
          <w:rFonts w:hint="eastAsia" w:ascii="仿宋_GB2312" w:hAnsi="仿宋_GB2312" w:eastAsia="仿宋_GB2312" w:cs="仿宋_GB2312"/>
          <w:color w:val="auto"/>
          <w:w w:val="100"/>
          <w:highlight w:val="none"/>
          <w:lang w:eastAsia="zh-CN"/>
        </w:rPr>
        <w:t>.2合同周期</w:t>
      </w:r>
    </w:p>
    <w:p>
      <w:pPr>
        <w:pStyle w:val="7"/>
        <w:pageBreakBefore w:val="0"/>
        <w:tabs>
          <w:tab w:val="left" w:pos="1380"/>
        </w:tabs>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中</w:t>
      </w:r>
      <w:r>
        <w:rPr>
          <w:rFonts w:hint="eastAsia" w:ascii="仿宋_GB2312" w:hAnsi="仿宋_GB2312" w:eastAsia="仿宋_GB2312" w:cs="仿宋_GB2312"/>
          <w:color w:val="auto"/>
          <w:spacing w:val="1"/>
          <w:w w:val="100"/>
          <w:highlight w:val="none"/>
          <w:lang w:eastAsia="zh-CN"/>
        </w:rPr>
        <w:t>长</w:t>
      </w:r>
      <w:r>
        <w:rPr>
          <w:rFonts w:hint="eastAsia" w:ascii="仿宋_GB2312" w:hAnsi="仿宋_GB2312" w:eastAsia="仿宋_GB2312" w:cs="仿宋_GB2312"/>
          <w:color w:val="auto"/>
          <w:w w:val="100"/>
          <w:highlight w:val="none"/>
          <w:lang w:eastAsia="zh-CN"/>
        </w:rPr>
        <w:t>期合同的起</w:t>
      </w:r>
      <w:r>
        <w:rPr>
          <w:rFonts w:hint="eastAsia" w:ascii="仿宋_GB2312" w:hAnsi="仿宋_GB2312" w:eastAsia="仿宋_GB2312" w:cs="仿宋_GB2312"/>
          <w:color w:val="auto"/>
          <w:spacing w:val="1"/>
          <w:w w:val="100"/>
          <w:highlight w:val="none"/>
          <w:lang w:eastAsia="zh-CN"/>
        </w:rPr>
        <w:t>止</w:t>
      </w:r>
      <w:r>
        <w:rPr>
          <w:rFonts w:hint="eastAsia" w:ascii="仿宋_GB2312" w:hAnsi="仿宋_GB2312" w:eastAsia="仿宋_GB2312" w:cs="仿宋_GB2312"/>
          <w:color w:val="auto"/>
          <w:w w:val="100"/>
          <w:highlight w:val="none"/>
          <w:lang w:eastAsia="zh-CN"/>
        </w:rPr>
        <w:t>时间</w:t>
      </w:r>
      <w:r>
        <w:rPr>
          <w:rFonts w:hint="eastAsia" w:ascii="仿宋_GB2312" w:hAnsi="仿宋_GB2312" w:eastAsia="仿宋_GB2312" w:cs="仿宋_GB2312"/>
          <w:color w:val="auto"/>
          <w:spacing w:val="1"/>
          <w:w w:val="100"/>
          <w:highlight w:val="none"/>
          <w:lang w:eastAsia="zh-CN"/>
        </w:rPr>
        <w:t>，</w:t>
      </w:r>
      <w:r>
        <w:rPr>
          <w:rFonts w:hint="eastAsia" w:ascii="仿宋_GB2312" w:hAnsi="仿宋_GB2312" w:eastAsia="仿宋_GB2312" w:cs="仿宋_GB2312"/>
          <w:color w:val="auto"/>
          <w:w w:val="100"/>
          <w:highlight w:val="none"/>
          <w:lang w:eastAsia="zh-CN"/>
        </w:rPr>
        <w:t>以完</w:t>
      </w:r>
      <w:r>
        <w:rPr>
          <w:rFonts w:hint="eastAsia" w:ascii="仿宋_GB2312" w:hAnsi="仿宋_GB2312" w:eastAsia="仿宋_GB2312" w:cs="仿宋_GB2312"/>
          <w:color w:val="auto"/>
          <w:spacing w:val="1"/>
          <w:w w:val="100"/>
          <w:highlight w:val="none"/>
          <w:lang w:eastAsia="zh-CN"/>
        </w:rPr>
        <w:t>整</w:t>
      </w:r>
      <w:r>
        <w:rPr>
          <w:rFonts w:hint="eastAsia" w:ascii="仿宋_GB2312" w:hAnsi="仿宋_GB2312" w:eastAsia="仿宋_GB2312" w:cs="仿宋_GB2312"/>
          <w:color w:val="auto"/>
          <w:w w:val="100"/>
          <w:highlight w:val="none"/>
          <w:lang w:eastAsia="zh-CN"/>
        </w:rPr>
        <w:t>日历</w:t>
      </w:r>
      <w:r>
        <w:rPr>
          <w:rFonts w:hint="eastAsia" w:ascii="仿宋_GB2312" w:hAnsi="仿宋_GB2312" w:eastAsia="仿宋_GB2312" w:cs="仿宋_GB2312"/>
          <w:color w:val="auto"/>
          <w:spacing w:val="1"/>
          <w:w w:val="100"/>
          <w:highlight w:val="none"/>
          <w:lang w:eastAsia="zh-CN"/>
        </w:rPr>
        <w:t>日</w:t>
      </w:r>
      <w:r>
        <w:rPr>
          <w:rFonts w:hint="eastAsia" w:ascii="仿宋_GB2312" w:hAnsi="仿宋_GB2312" w:eastAsia="仿宋_GB2312" w:cs="仿宋_GB2312"/>
          <w:color w:val="auto"/>
          <w:w w:val="100"/>
          <w:highlight w:val="none"/>
          <w:lang w:eastAsia="zh-CN"/>
        </w:rPr>
        <w:t>为基</w:t>
      </w:r>
      <w:r>
        <w:rPr>
          <w:rFonts w:hint="eastAsia" w:ascii="仿宋_GB2312" w:hAnsi="仿宋_GB2312" w:eastAsia="仿宋_GB2312" w:cs="仿宋_GB2312"/>
          <w:color w:val="auto"/>
          <w:spacing w:val="1"/>
          <w:w w:val="100"/>
          <w:highlight w:val="none"/>
          <w:lang w:eastAsia="zh-CN"/>
        </w:rPr>
        <w:t>本</w:t>
      </w:r>
      <w:r>
        <w:rPr>
          <w:rFonts w:hint="eastAsia" w:ascii="仿宋_GB2312" w:hAnsi="仿宋_GB2312" w:eastAsia="仿宋_GB2312" w:cs="仿宋_GB2312"/>
          <w:color w:val="auto"/>
          <w:w w:val="100"/>
          <w:highlight w:val="none"/>
          <w:lang w:eastAsia="zh-CN"/>
        </w:rPr>
        <w:t>单位。</w:t>
      </w:r>
    </w:p>
    <w:p>
      <w:pPr>
        <w:pStyle w:val="7"/>
        <w:pageBreakBefore w:val="0"/>
        <w:tabs>
          <w:tab w:val="left" w:pos="1380"/>
        </w:tabs>
        <w:kinsoku/>
        <w:wordWrap/>
        <w:overflowPunct/>
        <w:topLinePunct w:val="0"/>
        <w:autoSpaceDE/>
        <w:autoSpaceDN/>
        <w:bidi w:val="0"/>
        <w:adjustRightInd/>
        <w:spacing w:line="560" w:lineRule="exact"/>
        <w:ind w:left="0" w:right="0" w:firstLine="640" w:firstLineChars="200"/>
        <w:jc w:val="both"/>
        <w:textAlignment w:val="auto"/>
        <w:outlineLvl w:val="2"/>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w:t>
      </w:r>
      <w:r>
        <w:rPr>
          <w:rFonts w:hint="eastAsia" w:ascii="仿宋_GB2312" w:hAnsi="仿宋_GB2312" w:eastAsia="仿宋_GB2312" w:cs="仿宋_GB2312"/>
          <w:color w:val="auto"/>
          <w:w w:val="100"/>
          <w:highlight w:val="none"/>
          <w:lang w:val="en-US" w:eastAsia="zh-CN"/>
        </w:rPr>
        <w:t>3</w:t>
      </w:r>
      <w:r>
        <w:rPr>
          <w:rFonts w:hint="eastAsia" w:ascii="仿宋_GB2312" w:hAnsi="仿宋_GB2312" w:eastAsia="仿宋_GB2312" w:cs="仿宋_GB2312"/>
          <w:color w:val="auto"/>
          <w:w w:val="100"/>
          <w:highlight w:val="none"/>
          <w:lang w:eastAsia="zh-CN"/>
        </w:rPr>
        <w:t>.3合同电量</w:t>
      </w:r>
    </w:p>
    <w:p>
      <w:pPr>
        <w:pStyle w:val="7"/>
        <w:pageBreakBefore w:val="0"/>
        <w:tabs>
          <w:tab w:val="left" w:pos="1380"/>
        </w:tabs>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中</w:t>
      </w:r>
      <w:r>
        <w:rPr>
          <w:rFonts w:hint="eastAsia" w:ascii="仿宋_GB2312" w:hAnsi="仿宋_GB2312" w:eastAsia="仿宋_GB2312" w:cs="仿宋_GB2312"/>
          <w:color w:val="auto"/>
          <w:spacing w:val="1"/>
          <w:w w:val="100"/>
          <w:highlight w:val="none"/>
          <w:lang w:eastAsia="zh-CN"/>
        </w:rPr>
        <w:t>长</w:t>
      </w:r>
      <w:r>
        <w:rPr>
          <w:rFonts w:hint="eastAsia" w:ascii="仿宋_GB2312" w:hAnsi="仿宋_GB2312" w:eastAsia="仿宋_GB2312" w:cs="仿宋_GB2312"/>
          <w:color w:val="auto"/>
          <w:w w:val="100"/>
          <w:highlight w:val="none"/>
          <w:lang w:eastAsia="zh-CN"/>
        </w:rPr>
        <w:t>期合同周期</w:t>
      </w:r>
      <w:r>
        <w:rPr>
          <w:rFonts w:hint="eastAsia" w:ascii="仿宋_GB2312" w:hAnsi="仿宋_GB2312" w:eastAsia="仿宋_GB2312" w:cs="仿宋_GB2312"/>
          <w:color w:val="auto"/>
          <w:spacing w:val="1"/>
          <w:w w:val="100"/>
          <w:highlight w:val="none"/>
          <w:lang w:eastAsia="zh-CN"/>
        </w:rPr>
        <w:t>内</w:t>
      </w:r>
      <w:r>
        <w:rPr>
          <w:rFonts w:hint="eastAsia" w:ascii="仿宋_GB2312" w:hAnsi="仿宋_GB2312" w:eastAsia="仿宋_GB2312" w:cs="仿宋_GB2312"/>
          <w:color w:val="auto"/>
          <w:w w:val="100"/>
          <w:highlight w:val="none"/>
          <w:lang w:eastAsia="zh-CN"/>
        </w:rPr>
        <w:t>交易</w:t>
      </w:r>
      <w:r>
        <w:rPr>
          <w:rFonts w:hint="eastAsia" w:ascii="仿宋_GB2312" w:hAnsi="仿宋_GB2312" w:eastAsia="仿宋_GB2312" w:cs="仿宋_GB2312"/>
          <w:color w:val="auto"/>
          <w:spacing w:val="1"/>
          <w:w w:val="100"/>
          <w:highlight w:val="none"/>
          <w:lang w:eastAsia="zh-CN"/>
        </w:rPr>
        <w:t>的</w:t>
      </w:r>
      <w:r>
        <w:rPr>
          <w:rFonts w:hint="eastAsia" w:ascii="仿宋_GB2312" w:hAnsi="仿宋_GB2312" w:eastAsia="仿宋_GB2312" w:cs="仿宋_GB2312"/>
          <w:color w:val="auto"/>
          <w:w w:val="100"/>
          <w:highlight w:val="none"/>
          <w:lang w:eastAsia="zh-CN"/>
        </w:rPr>
        <w:t>总电</w:t>
      </w:r>
      <w:r>
        <w:rPr>
          <w:rFonts w:hint="eastAsia" w:ascii="仿宋_GB2312" w:hAnsi="仿宋_GB2312" w:eastAsia="仿宋_GB2312" w:cs="仿宋_GB2312"/>
          <w:color w:val="auto"/>
          <w:spacing w:val="1"/>
          <w:w w:val="100"/>
          <w:highlight w:val="none"/>
          <w:lang w:eastAsia="zh-CN"/>
        </w:rPr>
        <w:t>量</w:t>
      </w:r>
      <w:r>
        <w:rPr>
          <w:rFonts w:hint="eastAsia" w:ascii="仿宋_GB2312" w:hAnsi="仿宋_GB2312" w:eastAsia="仿宋_GB2312" w:cs="仿宋_GB2312"/>
          <w:color w:val="auto"/>
          <w:w w:val="100"/>
          <w:highlight w:val="none"/>
          <w:lang w:eastAsia="zh-CN"/>
        </w:rPr>
        <w:t>。</w:t>
      </w:r>
    </w:p>
    <w:p>
      <w:pPr>
        <w:pStyle w:val="7"/>
        <w:pageBreakBefore w:val="0"/>
        <w:tabs>
          <w:tab w:val="left" w:pos="1380"/>
        </w:tabs>
        <w:kinsoku/>
        <w:wordWrap/>
        <w:overflowPunct/>
        <w:topLinePunct w:val="0"/>
        <w:autoSpaceDE/>
        <w:autoSpaceDN/>
        <w:bidi w:val="0"/>
        <w:adjustRightInd/>
        <w:spacing w:line="560" w:lineRule="exact"/>
        <w:ind w:left="0" w:right="0" w:firstLine="640" w:firstLineChars="200"/>
        <w:jc w:val="both"/>
        <w:textAlignment w:val="auto"/>
        <w:outlineLvl w:val="2"/>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w:t>
      </w:r>
      <w:r>
        <w:rPr>
          <w:rFonts w:hint="eastAsia" w:ascii="仿宋_GB2312" w:hAnsi="仿宋_GB2312" w:eastAsia="仿宋_GB2312" w:cs="仿宋_GB2312"/>
          <w:color w:val="auto"/>
          <w:w w:val="100"/>
          <w:highlight w:val="none"/>
          <w:lang w:val="en-US" w:eastAsia="zh-CN"/>
        </w:rPr>
        <w:t>3</w:t>
      </w:r>
      <w:r>
        <w:rPr>
          <w:rFonts w:hint="eastAsia" w:ascii="仿宋_GB2312" w:hAnsi="仿宋_GB2312" w:eastAsia="仿宋_GB2312" w:cs="仿宋_GB2312"/>
          <w:color w:val="auto"/>
          <w:w w:val="100"/>
          <w:highlight w:val="none"/>
          <w:lang w:eastAsia="zh-CN"/>
        </w:rPr>
        <w:t>.4分</w:t>
      </w:r>
      <w:r>
        <w:rPr>
          <w:rFonts w:hint="eastAsia" w:ascii="仿宋_GB2312" w:hAnsi="仿宋_GB2312" w:eastAsia="仿宋_GB2312" w:cs="仿宋_GB2312"/>
          <w:color w:val="auto"/>
          <w:spacing w:val="2"/>
          <w:w w:val="100"/>
          <w:highlight w:val="none"/>
          <w:lang w:eastAsia="zh-CN"/>
        </w:rPr>
        <w:t>解</w:t>
      </w:r>
      <w:r>
        <w:rPr>
          <w:rFonts w:hint="eastAsia" w:ascii="仿宋_GB2312" w:hAnsi="仿宋_GB2312" w:eastAsia="仿宋_GB2312" w:cs="仿宋_GB2312"/>
          <w:color w:val="auto"/>
          <w:w w:val="100"/>
          <w:highlight w:val="none"/>
          <w:lang w:eastAsia="zh-CN"/>
        </w:rPr>
        <w:t>曲线</w:t>
      </w:r>
    </w:p>
    <w:p>
      <w:pPr>
        <w:pStyle w:val="7"/>
        <w:pageBreakBefore w:val="0"/>
        <w:tabs>
          <w:tab w:val="left" w:pos="1380"/>
        </w:tabs>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合同电量</w:t>
      </w:r>
      <w:r>
        <w:rPr>
          <w:rFonts w:hint="eastAsia" w:ascii="仿宋_GB2312" w:hAnsi="仿宋_GB2312" w:eastAsia="仿宋_GB2312" w:cs="仿宋_GB2312"/>
          <w:color w:val="auto"/>
          <w:spacing w:val="1"/>
          <w:w w:val="100"/>
          <w:highlight w:val="none"/>
          <w:lang w:eastAsia="zh-CN"/>
        </w:rPr>
        <w:t>的</w:t>
      </w:r>
      <w:r>
        <w:rPr>
          <w:rFonts w:hint="eastAsia" w:ascii="仿宋_GB2312" w:hAnsi="仿宋_GB2312" w:eastAsia="仿宋_GB2312" w:cs="仿宋_GB2312"/>
          <w:color w:val="auto"/>
          <w:w w:val="100"/>
          <w:highlight w:val="none"/>
          <w:lang w:eastAsia="zh-CN"/>
        </w:rPr>
        <w:t>分解</w:t>
      </w:r>
      <w:r>
        <w:rPr>
          <w:rFonts w:hint="eastAsia" w:ascii="仿宋_GB2312" w:hAnsi="仿宋_GB2312" w:eastAsia="仿宋_GB2312" w:cs="仿宋_GB2312"/>
          <w:color w:val="auto"/>
          <w:spacing w:val="1"/>
          <w:w w:val="100"/>
          <w:highlight w:val="none"/>
          <w:lang w:eastAsia="zh-CN"/>
        </w:rPr>
        <w:t>曲</w:t>
      </w:r>
      <w:r>
        <w:rPr>
          <w:rFonts w:hint="eastAsia" w:ascii="仿宋_GB2312" w:hAnsi="仿宋_GB2312" w:eastAsia="仿宋_GB2312" w:cs="仿宋_GB2312"/>
          <w:color w:val="auto"/>
          <w:w w:val="100"/>
          <w:highlight w:val="none"/>
          <w:lang w:eastAsia="zh-CN"/>
        </w:rPr>
        <w:t>线或曲线分解机制</w:t>
      </w:r>
      <w:r>
        <w:rPr>
          <w:rFonts w:hint="eastAsia" w:ascii="仿宋_GB2312" w:hAnsi="仿宋_GB2312" w:eastAsia="仿宋_GB2312" w:cs="仿宋_GB2312"/>
          <w:color w:val="auto"/>
          <w:spacing w:val="-15"/>
          <w:w w:val="100"/>
          <w:highlight w:val="none"/>
          <w:lang w:eastAsia="zh-CN"/>
        </w:rPr>
        <w:t>，</w:t>
      </w:r>
      <w:r>
        <w:rPr>
          <w:rFonts w:hint="eastAsia" w:ascii="仿宋_GB2312" w:hAnsi="仿宋_GB2312" w:eastAsia="仿宋_GB2312" w:cs="仿宋_GB2312"/>
          <w:color w:val="auto"/>
          <w:w w:val="100"/>
          <w:highlight w:val="none"/>
          <w:lang w:eastAsia="zh-CN"/>
        </w:rPr>
        <w:t>用</w:t>
      </w:r>
      <w:r>
        <w:rPr>
          <w:rFonts w:hint="eastAsia" w:ascii="仿宋_GB2312" w:hAnsi="仿宋_GB2312" w:eastAsia="仿宋_GB2312" w:cs="仿宋_GB2312"/>
          <w:color w:val="auto"/>
          <w:spacing w:val="1"/>
          <w:w w:val="100"/>
          <w:highlight w:val="none"/>
          <w:lang w:eastAsia="zh-CN"/>
        </w:rPr>
        <w:t>于</w:t>
      </w:r>
      <w:r>
        <w:rPr>
          <w:rFonts w:hint="eastAsia" w:ascii="仿宋_GB2312" w:hAnsi="仿宋_GB2312" w:eastAsia="仿宋_GB2312" w:cs="仿宋_GB2312"/>
          <w:color w:val="auto"/>
          <w:w w:val="100"/>
          <w:highlight w:val="none"/>
          <w:lang w:eastAsia="zh-CN"/>
        </w:rPr>
        <w:t>合同</w:t>
      </w:r>
      <w:r>
        <w:rPr>
          <w:rFonts w:hint="eastAsia" w:ascii="仿宋_GB2312" w:hAnsi="仿宋_GB2312" w:eastAsia="仿宋_GB2312" w:cs="仿宋_GB2312"/>
          <w:color w:val="auto"/>
          <w:spacing w:val="1"/>
          <w:w w:val="100"/>
          <w:highlight w:val="none"/>
          <w:lang w:eastAsia="zh-CN"/>
        </w:rPr>
        <w:t>电</w:t>
      </w:r>
      <w:r>
        <w:rPr>
          <w:rFonts w:hint="eastAsia" w:ascii="仿宋_GB2312" w:hAnsi="仿宋_GB2312" w:eastAsia="仿宋_GB2312" w:cs="仿宋_GB2312"/>
          <w:color w:val="auto"/>
          <w:w w:val="100"/>
          <w:highlight w:val="none"/>
          <w:lang w:eastAsia="zh-CN"/>
        </w:rPr>
        <w:t>量在合同周期</w:t>
      </w:r>
      <w:r>
        <w:rPr>
          <w:rFonts w:hint="eastAsia" w:ascii="仿宋_GB2312" w:hAnsi="仿宋_GB2312" w:eastAsia="仿宋_GB2312" w:cs="仿宋_GB2312"/>
          <w:color w:val="auto"/>
          <w:spacing w:val="1"/>
          <w:w w:val="100"/>
          <w:highlight w:val="none"/>
          <w:lang w:eastAsia="zh-CN"/>
        </w:rPr>
        <w:t>内</w:t>
      </w:r>
      <w:r>
        <w:rPr>
          <w:rFonts w:hint="eastAsia" w:ascii="仿宋_GB2312" w:hAnsi="仿宋_GB2312" w:eastAsia="仿宋_GB2312" w:cs="仿宋_GB2312"/>
          <w:color w:val="auto"/>
          <w:w w:val="100"/>
          <w:highlight w:val="none"/>
          <w:lang w:eastAsia="zh-CN"/>
        </w:rPr>
        <w:t>的分解。</w:t>
      </w:r>
    </w:p>
    <w:p>
      <w:pPr>
        <w:pStyle w:val="20"/>
        <w:pageBreakBefore w:val="0"/>
        <w:kinsoku/>
        <w:wordWrap/>
        <w:overflowPunct/>
        <w:topLinePunct w:val="0"/>
        <w:autoSpaceDE/>
        <w:autoSpaceDN/>
        <w:bidi w:val="0"/>
        <w:adjustRightInd/>
        <w:spacing w:line="560" w:lineRule="exact"/>
        <w:ind w:left="0" w:right="0" w:firstLine="640" w:firstLineChars="200"/>
        <w:jc w:val="both"/>
        <w:textAlignment w:val="auto"/>
        <w:outlineLvl w:val="2"/>
        <w:rPr>
          <w:rFonts w:hAnsi="仿宋_GB2312" w:cs="仿宋_GB2312"/>
          <w:color w:val="auto"/>
          <w:w w:val="100"/>
          <w:highlight w:val="none"/>
        </w:rPr>
      </w:pPr>
      <w:r>
        <w:rPr>
          <w:rFonts w:hint="eastAsia" w:hAnsi="仿宋_GB2312" w:cs="仿宋_GB2312"/>
          <w:color w:val="auto"/>
          <w:w w:val="100"/>
          <w:highlight w:val="none"/>
        </w:rPr>
        <w:t>3.</w:t>
      </w:r>
      <w:r>
        <w:rPr>
          <w:rFonts w:hint="eastAsia" w:hAnsi="仿宋_GB2312" w:cs="仿宋_GB2312"/>
          <w:color w:val="auto"/>
          <w:w w:val="100"/>
          <w:highlight w:val="none"/>
          <w:lang w:val="en-US" w:eastAsia="zh-CN"/>
        </w:rPr>
        <w:t>3</w:t>
      </w:r>
      <w:r>
        <w:rPr>
          <w:rFonts w:hint="eastAsia" w:hAnsi="仿宋_GB2312" w:cs="仿宋_GB2312"/>
          <w:color w:val="auto"/>
          <w:w w:val="100"/>
          <w:highlight w:val="none"/>
        </w:rPr>
        <w:t>.5交易价格</w:t>
      </w:r>
    </w:p>
    <w:bookmarkEnd w:id="13"/>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合同电量的成交价格，采用绝对电能价格。经营主体也可签订固定的价格机制，鼓励经营主体签订与一次能源挂钩的浮动定价合同；采用价格机制的，需在结算开展前转化为绝对价格。条件成熟后，每份合同根据交易时段可对每月（日）合约电量约定24小时分时价格。</w:t>
      </w:r>
    </w:p>
    <w:p>
      <w:pPr>
        <w:pStyle w:val="7"/>
        <w:pageBreakBefore w:val="0"/>
        <w:kinsoku/>
        <w:wordWrap/>
        <w:overflowPunct/>
        <w:topLinePunct w:val="0"/>
        <w:autoSpaceDE/>
        <w:autoSpaceDN/>
        <w:bidi w:val="0"/>
        <w:adjustRightInd/>
        <w:spacing w:line="560" w:lineRule="exact"/>
        <w:ind w:left="0" w:right="0" w:firstLine="644" w:firstLineChars="200"/>
        <w:jc w:val="both"/>
        <w:textAlignment w:val="auto"/>
        <w:outlineLvl w:val="2"/>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spacing w:val="1"/>
          <w:w w:val="100"/>
          <w:highlight w:val="none"/>
          <w:lang w:eastAsia="zh-CN"/>
        </w:rPr>
        <w:t>3.</w:t>
      </w:r>
      <w:r>
        <w:rPr>
          <w:rFonts w:hint="eastAsia" w:ascii="仿宋_GB2312" w:hAnsi="仿宋_GB2312" w:eastAsia="仿宋_GB2312" w:cs="仿宋_GB2312"/>
          <w:color w:val="auto"/>
          <w:spacing w:val="1"/>
          <w:w w:val="100"/>
          <w:highlight w:val="none"/>
          <w:lang w:val="en-US" w:eastAsia="zh-CN"/>
        </w:rPr>
        <w:t>3</w:t>
      </w:r>
      <w:r>
        <w:rPr>
          <w:rFonts w:hint="eastAsia" w:ascii="仿宋_GB2312" w:hAnsi="仿宋_GB2312" w:eastAsia="仿宋_GB2312" w:cs="仿宋_GB2312"/>
          <w:color w:val="auto"/>
          <w:spacing w:val="1"/>
          <w:w w:val="100"/>
          <w:highlight w:val="none"/>
          <w:lang w:eastAsia="zh-CN"/>
        </w:rPr>
        <w:t>.6结算参考点</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b w:val="0"/>
          <w:bCs w:val="0"/>
          <w:color w:val="auto"/>
          <w:spacing w:val="0"/>
          <w:w w:val="100"/>
          <w:highlight w:val="none"/>
          <w:lang w:eastAsia="zh-CN"/>
        </w:rPr>
      </w:pPr>
      <w:r>
        <w:rPr>
          <w:rFonts w:hint="eastAsia" w:ascii="仿宋_GB2312" w:hAnsi="仿宋_GB2312" w:eastAsia="仿宋_GB2312" w:cs="仿宋_GB2312"/>
          <w:color w:val="auto"/>
          <w:w w:val="100"/>
          <w:highlight w:val="none"/>
          <w:lang w:val="en-US" w:eastAsia="zh-CN"/>
        </w:rPr>
        <w:t>现阶段，</w:t>
      </w:r>
      <w:r>
        <w:rPr>
          <w:rFonts w:hint="eastAsia" w:ascii="仿宋_GB2312" w:hAnsi="仿宋_GB2312" w:eastAsia="仿宋_GB2312" w:cs="仿宋_GB2312"/>
          <w:color w:val="auto"/>
          <w:w w:val="100"/>
          <w:highlight w:val="none"/>
          <w:lang w:eastAsia="zh-CN"/>
        </w:rPr>
        <w:t>省内中</w:t>
      </w:r>
      <w:r>
        <w:rPr>
          <w:rFonts w:hint="eastAsia" w:ascii="仿宋_GB2312" w:hAnsi="仿宋_GB2312" w:eastAsia="仿宋_GB2312" w:cs="仿宋_GB2312"/>
          <w:color w:val="auto"/>
          <w:spacing w:val="0"/>
          <w:w w:val="100"/>
          <w:highlight w:val="none"/>
          <w:lang w:eastAsia="zh-CN"/>
        </w:rPr>
        <w:t>长</w:t>
      </w:r>
      <w:r>
        <w:rPr>
          <w:rFonts w:hint="eastAsia" w:ascii="仿宋_GB2312" w:hAnsi="仿宋_GB2312" w:eastAsia="仿宋_GB2312" w:cs="仿宋_GB2312"/>
          <w:color w:val="auto"/>
          <w:w w:val="100"/>
          <w:highlight w:val="none"/>
          <w:lang w:eastAsia="zh-CN"/>
        </w:rPr>
        <w:t>期</w:t>
      </w:r>
      <w:r>
        <w:rPr>
          <w:rFonts w:hint="eastAsia" w:ascii="仿宋_GB2312" w:hAnsi="仿宋_GB2312" w:eastAsia="仿宋_GB2312" w:cs="仿宋_GB2312"/>
          <w:color w:val="auto"/>
          <w:w w:val="100"/>
          <w:highlight w:val="none"/>
          <w:lang w:val="en-US" w:eastAsia="zh-CN"/>
        </w:rPr>
        <w:t>电能量</w:t>
      </w:r>
      <w:r>
        <w:rPr>
          <w:rFonts w:hint="eastAsia" w:ascii="仿宋_GB2312" w:hAnsi="仿宋_GB2312" w:eastAsia="仿宋_GB2312" w:cs="仿宋_GB2312"/>
          <w:color w:val="auto"/>
          <w:w w:val="100"/>
          <w:highlight w:val="none"/>
          <w:lang w:eastAsia="zh-CN"/>
        </w:rPr>
        <w:t>交</w:t>
      </w:r>
      <w:r>
        <w:rPr>
          <w:rFonts w:hint="eastAsia" w:ascii="仿宋_GB2312" w:hAnsi="仿宋_GB2312" w:eastAsia="仿宋_GB2312" w:cs="仿宋_GB2312"/>
          <w:color w:val="auto"/>
          <w:spacing w:val="0"/>
          <w:w w:val="100"/>
          <w:highlight w:val="none"/>
          <w:lang w:eastAsia="zh-CN"/>
        </w:rPr>
        <w:t>易</w:t>
      </w:r>
      <w:r>
        <w:rPr>
          <w:rFonts w:hint="eastAsia" w:ascii="仿宋_GB2312" w:hAnsi="仿宋_GB2312" w:eastAsia="仿宋_GB2312" w:cs="仿宋_GB2312"/>
          <w:color w:val="auto"/>
          <w:spacing w:val="0"/>
          <w:w w:val="100"/>
          <w:highlight w:val="none"/>
          <w:lang w:val="en-US" w:eastAsia="zh-CN"/>
        </w:rPr>
        <w:t>以用户侧统一结算点电价作为</w:t>
      </w:r>
      <w:r>
        <w:rPr>
          <w:rFonts w:hint="eastAsia" w:ascii="仿宋_GB2312" w:hAnsi="仿宋_GB2312" w:eastAsia="仿宋_GB2312" w:cs="仿宋_GB2312"/>
          <w:color w:val="auto"/>
          <w:w w:val="100"/>
          <w:highlight w:val="none"/>
          <w:lang w:eastAsia="zh-CN"/>
        </w:rPr>
        <w:t>结算参考点</w:t>
      </w:r>
      <w:r>
        <w:rPr>
          <w:rFonts w:hint="eastAsia" w:ascii="仿宋_GB2312" w:hAnsi="仿宋_GB2312" w:eastAsia="仿宋_GB2312" w:cs="仿宋_GB2312"/>
          <w:color w:val="auto"/>
          <w:w w:val="100"/>
          <w:highlight w:val="none"/>
          <w:lang w:val="en-US" w:eastAsia="zh-CN"/>
        </w:rPr>
        <w:t>开展结算；</w:t>
      </w:r>
      <w:r>
        <w:rPr>
          <w:rFonts w:hint="eastAsia" w:ascii="仿宋_GB2312" w:hAnsi="仿宋_GB2312" w:eastAsia="仿宋_GB2312" w:cs="仿宋_GB2312"/>
          <w:color w:val="auto"/>
          <w:w w:val="100"/>
          <w:highlight w:val="none"/>
          <w:lang w:eastAsia="zh-CN"/>
        </w:rPr>
        <w:t>跨省中长期市场化交易根据《南方区域电力市场运行规则》</w:t>
      </w:r>
      <w:r>
        <w:rPr>
          <w:rFonts w:hint="eastAsia" w:ascii="仿宋_GB2312" w:hAnsi="仿宋_GB2312" w:eastAsia="仿宋_GB2312" w:cs="仿宋_GB2312"/>
          <w:color w:val="auto"/>
          <w:w w:val="100"/>
          <w:highlight w:val="none"/>
          <w:lang w:val="en-US" w:eastAsia="zh-CN"/>
        </w:rPr>
        <w:t>和《</w:t>
      </w:r>
      <w:r>
        <w:rPr>
          <w:rFonts w:hint="eastAsia" w:ascii="仿宋_GB2312" w:hAnsi="仿宋_GB2312" w:eastAsia="仿宋_GB2312" w:cs="仿宋_GB2312"/>
          <w:color w:val="auto"/>
          <w:w w:val="100"/>
          <w:highlight w:val="none"/>
          <w:lang w:eastAsia="zh-CN"/>
        </w:rPr>
        <w:t>南方区域电力市场中长期电能量交易实施细则</w:t>
      </w:r>
      <w:r>
        <w:rPr>
          <w:rFonts w:hint="eastAsia" w:ascii="仿宋_GB2312" w:hAnsi="仿宋_GB2312" w:eastAsia="仿宋_GB2312" w:cs="仿宋_GB2312"/>
          <w:color w:val="auto"/>
          <w:w w:val="100"/>
          <w:highlight w:val="none"/>
          <w:lang w:val="en-US" w:eastAsia="zh-CN"/>
        </w:rPr>
        <w:t>》要求确定相应的结算参考点</w:t>
      </w:r>
      <w:r>
        <w:rPr>
          <w:rFonts w:hint="eastAsia" w:ascii="仿宋_GB2312" w:hAnsi="仿宋_GB2312" w:eastAsia="仿宋_GB2312" w:cs="仿宋_GB2312"/>
          <w:color w:val="auto"/>
          <w:spacing w:val="0"/>
          <w:w w:val="100"/>
          <w:highlight w:val="none"/>
          <w:lang w:eastAsia="zh-CN"/>
        </w:rPr>
        <w:t>；</w:t>
      </w:r>
      <w:r>
        <w:rPr>
          <w:rFonts w:hint="eastAsia" w:ascii="仿宋_GB2312" w:hAnsi="仿宋_GB2312" w:eastAsia="仿宋_GB2312" w:cs="仿宋_GB2312"/>
          <w:color w:val="auto"/>
          <w:w w:val="100"/>
          <w:highlight w:val="none"/>
          <w:lang w:eastAsia="zh-CN"/>
        </w:rPr>
        <w:t>条</w:t>
      </w:r>
      <w:r>
        <w:rPr>
          <w:rFonts w:hint="eastAsia" w:ascii="仿宋_GB2312" w:hAnsi="仿宋_GB2312" w:eastAsia="仿宋_GB2312" w:cs="仿宋_GB2312"/>
          <w:color w:val="auto"/>
          <w:spacing w:val="0"/>
          <w:w w:val="100"/>
          <w:highlight w:val="none"/>
          <w:lang w:eastAsia="zh-CN"/>
        </w:rPr>
        <w:t>件</w:t>
      </w:r>
      <w:r>
        <w:rPr>
          <w:rFonts w:hint="eastAsia" w:ascii="仿宋_GB2312" w:hAnsi="仿宋_GB2312" w:eastAsia="仿宋_GB2312" w:cs="仿宋_GB2312"/>
          <w:color w:val="auto"/>
          <w:w w:val="100"/>
          <w:highlight w:val="none"/>
          <w:lang w:eastAsia="zh-CN"/>
        </w:rPr>
        <w:t>成熟</w:t>
      </w:r>
      <w:r>
        <w:rPr>
          <w:rFonts w:hint="eastAsia" w:ascii="仿宋_GB2312" w:hAnsi="仿宋_GB2312" w:eastAsia="仿宋_GB2312" w:cs="仿宋_GB2312"/>
          <w:color w:val="auto"/>
          <w:spacing w:val="0"/>
          <w:w w:val="100"/>
          <w:highlight w:val="none"/>
          <w:lang w:eastAsia="zh-CN"/>
        </w:rPr>
        <w:t>后，</w:t>
      </w:r>
      <w:r>
        <w:rPr>
          <w:rFonts w:hint="eastAsia" w:ascii="仿宋_GB2312" w:hAnsi="仿宋_GB2312" w:eastAsia="仿宋_GB2312" w:cs="仿宋_GB2312"/>
          <w:color w:val="auto"/>
          <w:w w:val="100"/>
          <w:highlight w:val="none"/>
          <w:lang w:eastAsia="zh-CN"/>
        </w:rPr>
        <w:t>允</w:t>
      </w:r>
      <w:r>
        <w:rPr>
          <w:rFonts w:hint="eastAsia" w:ascii="仿宋_GB2312" w:hAnsi="仿宋_GB2312" w:eastAsia="仿宋_GB2312" w:cs="仿宋_GB2312"/>
          <w:color w:val="auto"/>
          <w:spacing w:val="0"/>
          <w:w w:val="100"/>
          <w:highlight w:val="none"/>
          <w:lang w:eastAsia="zh-CN"/>
        </w:rPr>
        <w:t>许</w:t>
      </w:r>
      <w:r>
        <w:rPr>
          <w:rFonts w:hint="eastAsia" w:ascii="仿宋_GB2312" w:hAnsi="仿宋_GB2312" w:eastAsia="仿宋_GB2312" w:cs="仿宋_GB2312"/>
          <w:color w:val="auto"/>
          <w:w w:val="100"/>
          <w:highlight w:val="none"/>
          <w:lang w:eastAsia="zh-CN"/>
        </w:rPr>
        <w:t>经营主体自行</w:t>
      </w:r>
      <w:r>
        <w:rPr>
          <w:rFonts w:hint="eastAsia" w:ascii="仿宋_GB2312" w:hAnsi="仿宋_GB2312" w:eastAsia="仿宋_GB2312" w:cs="仿宋_GB2312"/>
          <w:color w:val="auto"/>
          <w:spacing w:val="0"/>
          <w:w w:val="100"/>
          <w:highlight w:val="none"/>
          <w:lang w:eastAsia="zh-CN"/>
        </w:rPr>
        <w:t>选</w:t>
      </w:r>
      <w:r>
        <w:rPr>
          <w:rFonts w:hint="eastAsia" w:ascii="仿宋_GB2312" w:hAnsi="仿宋_GB2312" w:eastAsia="仿宋_GB2312" w:cs="仿宋_GB2312"/>
          <w:color w:val="auto"/>
          <w:w w:val="100"/>
          <w:highlight w:val="none"/>
          <w:lang w:eastAsia="zh-CN"/>
        </w:rPr>
        <w:t>择结</w:t>
      </w:r>
      <w:r>
        <w:rPr>
          <w:rFonts w:hint="eastAsia" w:ascii="仿宋_GB2312" w:hAnsi="仿宋_GB2312" w:eastAsia="仿宋_GB2312" w:cs="仿宋_GB2312"/>
          <w:color w:val="auto"/>
          <w:spacing w:val="0"/>
          <w:w w:val="100"/>
          <w:highlight w:val="none"/>
          <w:lang w:eastAsia="zh-CN"/>
        </w:rPr>
        <w:t>算</w:t>
      </w:r>
      <w:r>
        <w:rPr>
          <w:rFonts w:hint="eastAsia" w:ascii="仿宋_GB2312" w:hAnsi="仿宋_GB2312" w:eastAsia="仿宋_GB2312" w:cs="仿宋_GB2312"/>
          <w:color w:val="auto"/>
          <w:w w:val="100"/>
          <w:highlight w:val="none"/>
          <w:lang w:eastAsia="zh-CN"/>
        </w:rPr>
        <w:t>参考</w:t>
      </w:r>
      <w:r>
        <w:rPr>
          <w:rFonts w:hint="eastAsia" w:ascii="仿宋_GB2312" w:hAnsi="仿宋_GB2312" w:eastAsia="仿宋_GB2312" w:cs="仿宋_GB2312"/>
          <w:color w:val="auto"/>
          <w:spacing w:val="0"/>
          <w:w w:val="100"/>
          <w:highlight w:val="none"/>
          <w:lang w:eastAsia="zh-CN"/>
        </w:rPr>
        <w:t>点。</w:t>
      </w:r>
    </w:p>
    <w:p>
      <w:pPr>
        <w:pStyle w:val="7"/>
        <w:pageBreakBefore w:val="0"/>
        <w:kinsoku/>
        <w:wordWrap/>
        <w:overflowPunct/>
        <w:topLinePunct w:val="0"/>
        <w:autoSpaceDE/>
        <w:autoSpaceDN/>
        <w:bidi w:val="0"/>
        <w:adjustRightInd/>
        <w:spacing w:line="560" w:lineRule="exact"/>
        <w:ind w:left="0" w:right="0" w:firstLine="643" w:firstLineChars="200"/>
        <w:jc w:val="both"/>
        <w:textAlignment w:val="auto"/>
        <w:outlineLvl w:val="1"/>
        <w:rPr>
          <w:rFonts w:ascii="仿宋_GB2312" w:hAnsi="仿宋_GB2312" w:eastAsia="仿宋_GB2312" w:cs="仿宋_GB2312"/>
          <w:b/>
          <w:bCs/>
          <w:color w:val="auto"/>
          <w:w w:val="100"/>
          <w:highlight w:val="none"/>
          <w:lang w:eastAsia="zh-CN"/>
        </w:rPr>
      </w:pPr>
      <w:bookmarkStart w:id="16" w:name="_Toc17233"/>
      <w:r>
        <w:rPr>
          <w:rFonts w:hint="eastAsia" w:ascii="仿宋_GB2312" w:hAnsi="仿宋_GB2312" w:eastAsia="仿宋_GB2312" w:cs="仿宋_GB2312"/>
          <w:b/>
          <w:bCs/>
          <w:color w:val="auto"/>
          <w:w w:val="100"/>
          <w:highlight w:val="none"/>
          <w:lang w:eastAsia="zh-CN"/>
        </w:rPr>
        <w:t>3.</w:t>
      </w:r>
      <w:r>
        <w:rPr>
          <w:rFonts w:hint="eastAsia" w:ascii="仿宋_GB2312" w:hAnsi="仿宋_GB2312" w:eastAsia="仿宋_GB2312" w:cs="仿宋_GB2312"/>
          <w:b/>
          <w:bCs/>
          <w:color w:val="auto"/>
          <w:w w:val="100"/>
          <w:highlight w:val="none"/>
          <w:lang w:val="en-US" w:eastAsia="zh-CN"/>
        </w:rPr>
        <w:t>4</w:t>
      </w:r>
      <w:r>
        <w:rPr>
          <w:rFonts w:hint="eastAsia" w:ascii="仿宋_GB2312" w:hAnsi="仿宋_GB2312" w:eastAsia="仿宋_GB2312" w:cs="仿宋_GB2312"/>
          <w:b/>
          <w:bCs/>
          <w:color w:val="auto"/>
          <w:w w:val="100"/>
          <w:highlight w:val="none"/>
          <w:lang w:eastAsia="zh-CN"/>
        </w:rPr>
        <w:t>分解曲线</w:t>
      </w:r>
      <w:bookmarkEnd w:id="16"/>
    </w:p>
    <w:p>
      <w:pPr>
        <w:pageBreakBefore w:val="0"/>
        <w:kinsoku/>
        <w:wordWrap/>
        <w:overflowPunct/>
        <w:topLinePunct w:val="0"/>
        <w:autoSpaceDE/>
        <w:autoSpaceDN/>
        <w:bidi w:val="0"/>
        <w:adjustRightInd/>
        <w:spacing w:line="560" w:lineRule="exact"/>
        <w:ind w:left="0" w:right="0" w:firstLine="644" w:firstLineChars="200"/>
        <w:jc w:val="both"/>
        <w:textAlignment w:val="auto"/>
        <w:outlineLvl w:val="9"/>
        <w:rPr>
          <w:rFonts w:ascii="仿宋_GB2312" w:hAnsi="仿宋_GB2312" w:eastAsia="仿宋_GB2312" w:cs="仿宋_GB2312"/>
          <w:color w:val="auto"/>
          <w:spacing w:val="1"/>
          <w:w w:val="100"/>
          <w:sz w:val="32"/>
          <w:szCs w:val="32"/>
          <w:highlight w:val="none"/>
          <w:lang w:eastAsia="zh-CN"/>
        </w:rPr>
      </w:pPr>
      <w:r>
        <w:rPr>
          <w:rFonts w:hint="eastAsia" w:ascii="仿宋_GB2312" w:hAnsi="仿宋_GB2312" w:eastAsia="仿宋_GB2312" w:cs="仿宋_GB2312"/>
          <w:color w:val="auto"/>
          <w:spacing w:val="1"/>
          <w:w w:val="100"/>
          <w:sz w:val="32"/>
          <w:szCs w:val="32"/>
          <w:highlight w:val="none"/>
          <w:lang w:eastAsia="zh-CN"/>
        </w:rPr>
        <w:t>分解曲线包括自定义分解曲线和典型分解曲线两类。</w:t>
      </w:r>
    </w:p>
    <w:p>
      <w:pPr>
        <w:pStyle w:val="7"/>
        <w:pageBreakBefore w:val="0"/>
        <w:kinsoku/>
        <w:wordWrap/>
        <w:overflowPunct/>
        <w:topLinePunct w:val="0"/>
        <w:autoSpaceDE/>
        <w:autoSpaceDN/>
        <w:bidi w:val="0"/>
        <w:adjustRightInd/>
        <w:spacing w:line="560" w:lineRule="exact"/>
        <w:ind w:left="0" w:right="0" w:firstLine="644" w:firstLineChars="200"/>
        <w:jc w:val="both"/>
        <w:textAlignment w:val="auto"/>
        <w:outlineLvl w:val="2"/>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spacing w:val="1"/>
          <w:w w:val="100"/>
          <w:highlight w:val="none"/>
          <w:lang w:eastAsia="zh-CN"/>
        </w:rPr>
        <w:t>3</w:t>
      </w:r>
      <w:r>
        <w:rPr>
          <w:rFonts w:hint="eastAsia" w:ascii="仿宋_GB2312" w:hAnsi="仿宋_GB2312" w:eastAsia="仿宋_GB2312" w:cs="仿宋_GB2312"/>
          <w:color w:val="auto"/>
          <w:spacing w:val="-1"/>
          <w:w w:val="100"/>
          <w:highlight w:val="none"/>
          <w:lang w:eastAsia="zh-CN"/>
        </w:rPr>
        <w:t>.</w:t>
      </w:r>
      <w:r>
        <w:rPr>
          <w:rFonts w:hint="eastAsia" w:ascii="仿宋_GB2312" w:hAnsi="仿宋_GB2312" w:eastAsia="仿宋_GB2312" w:cs="仿宋_GB2312"/>
          <w:color w:val="auto"/>
          <w:spacing w:val="1"/>
          <w:w w:val="100"/>
          <w:highlight w:val="none"/>
          <w:lang w:val="en-US" w:eastAsia="zh-CN"/>
        </w:rPr>
        <w:t>4</w:t>
      </w:r>
      <w:r>
        <w:rPr>
          <w:rFonts w:hint="eastAsia" w:ascii="仿宋_GB2312" w:hAnsi="仿宋_GB2312" w:eastAsia="仿宋_GB2312" w:cs="仿宋_GB2312"/>
          <w:color w:val="auto"/>
          <w:spacing w:val="-1"/>
          <w:w w:val="100"/>
          <w:highlight w:val="none"/>
          <w:lang w:eastAsia="zh-CN"/>
        </w:rPr>
        <w:t>.</w:t>
      </w:r>
      <w:r>
        <w:rPr>
          <w:rFonts w:hint="eastAsia" w:ascii="仿宋_GB2312" w:hAnsi="仿宋_GB2312" w:eastAsia="仿宋_GB2312" w:cs="仿宋_GB2312"/>
          <w:color w:val="auto"/>
          <w:w w:val="100"/>
          <w:highlight w:val="none"/>
          <w:lang w:eastAsia="zh-CN"/>
        </w:rPr>
        <w:t>1自定义</w:t>
      </w:r>
      <w:r>
        <w:rPr>
          <w:rFonts w:hint="eastAsia" w:ascii="仿宋_GB2312" w:hAnsi="仿宋_GB2312" w:eastAsia="仿宋_GB2312" w:cs="仿宋_GB2312"/>
          <w:color w:val="auto"/>
          <w:spacing w:val="2"/>
          <w:w w:val="100"/>
          <w:highlight w:val="none"/>
          <w:lang w:eastAsia="zh-CN"/>
        </w:rPr>
        <w:t>分</w:t>
      </w:r>
      <w:r>
        <w:rPr>
          <w:rFonts w:hint="eastAsia" w:ascii="仿宋_GB2312" w:hAnsi="仿宋_GB2312" w:eastAsia="仿宋_GB2312" w:cs="仿宋_GB2312"/>
          <w:color w:val="auto"/>
          <w:w w:val="100"/>
          <w:highlight w:val="none"/>
          <w:lang w:eastAsia="zh-CN"/>
        </w:rPr>
        <w:t>解</w:t>
      </w:r>
      <w:r>
        <w:rPr>
          <w:rFonts w:hint="eastAsia" w:ascii="仿宋_GB2312" w:hAnsi="仿宋_GB2312" w:eastAsia="仿宋_GB2312" w:cs="仿宋_GB2312"/>
          <w:color w:val="auto"/>
          <w:spacing w:val="2"/>
          <w:w w:val="100"/>
          <w:highlight w:val="none"/>
          <w:lang w:eastAsia="zh-CN"/>
        </w:rPr>
        <w:t>曲</w:t>
      </w:r>
      <w:r>
        <w:rPr>
          <w:rFonts w:hint="eastAsia" w:ascii="仿宋_GB2312" w:hAnsi="仿宋_GB2312" w:eastAsia="仿宋_GB2312" w:cs="仿宋_GB2312"/>
          <w:color w:val="auto"/>
          <w:w w:val="100"/>
          <w:highlight w:val="none"/>
          <w:lang w:eastAsia="zh-CN"/>
        </w:rPr>
        <w:t>线</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自</w:t>
      </w:r>
      <w:r>
        <w:rPr>
          <w:rFonts w:hint="eastAsia" w:ascii="仿宋_GB2312" w:hAnsi="仿宋_GB2312" w:eastAsia="仿宋_GB2312" w:cs="仿宋_GB2312"/>
          <w:color w:val="auto"/>
          <w:spacing w:val="1"/>
          <w:w w:val="100"/>
          <w:highlight w:val="none"/>
          <w:lang w:eastAsia="zh-CN"/>
        </w:rPr>
        <w:t>定</w:t>
      </w:r>
      <w:r>
        <w:rPr>
          <w:rFonts w:hint="eastAsia" w:ascii="仿宋_GB2312" w:hAnsi="仿宋_GB2312" w:eastAsia="仿宋_GB2312" w:cs="仿宋_GB2312"/>
          <w:color w:val="auto"/>
          <w:w w:val="100"/>
          <w:highlight w:val="none"/>
          <w:lang w:eastAsia="zh-CN"/>
        </w:rPr>
        <w:t>义分</w:t>
      </w:r>
      <w:r>
        <w:rPr>
          <w:rFonts w:hint="eastAsia" w:ascii="仿宋_GB2312" w:hAnsi="仿宋_GB2312" w:eastAsia="仿宋_GB2312" w:cs="仿宋_GB2312"/>
          <w:color w:val="auto"/>
          <w:spacing w:val="1"/>
          <w:w w:val="100"/>
          <w:highlight w:val="none"/>
          <w:lang w:eastAsia="zh-CN"/>
        </w:rPr>
        <w:t>解</w:t>
      </w:r>
      <w:r>
        <w:rPr>
          <w:rFonts w:hint="eastAsia" w:ascii="仿宋_GB2312" w:hAnsi="仿宋_GB2312" w:eastAsia="仿宋_GB2312" w:cs="仿宋_GB2312"/>
          <w:color w:val="auto"/>
          <w:w w:val="100"/>
          <w:highlight w:val="none"/>
          <w:lang w:eastAsia="zh-CN"/>
        </w:rPr>
        <w:t>曲线由</w:t>
      </w:r>
      <w:r>
        <w:rPr>
          <w:rFonts w:hint="eastAsia" w:ascii="仿宋_GB2312" w:hAnsi="仿宋_GB2312" w:eastAsia="仿宋_GB2312" w:cs="仿宋_GB2312"/>
          <w:color w:val="auto"/>
          <w:spacing w:val="1"/>
          <w:w w:val="100"/>
          <w:highlight w:val="none"/>
          <w:lang w:eastAsia="zh-CN"/>
        </w:rPr>
        <w:t>经营主体</w:t>
      </w:r>
      <w:r>
        <w:rPr>
          <w:rFonts w:hint="eastAsia" w:ascii="仿宋_GB2312" w:hAnsi="仿宋_GB2312" w:eastAsia="仿宋_GB2312" w:cs="仿宋_GB2312"/>
          <w:color w:val="auto"/>
          <w:w w:val="100"/>
          <w:highlight w:val="none"/>
          <w:lang w:eastAsia="zh-CN"/>
        </w:rPr>
        <w:t>自主</w:t>
      </w:r>
      <w:r>
        <w:rPr>
          <w:rFonts w:hint="eastAsia" w:ascii="仿宋_GB2312" w:hAnsi="仿宋_GB2312" w:eastAsia="仿宋_GB2312" w:cs="仿宋_GB2312"/>
          <w:color w:val="auto"/>
          <w:spacing w:val="1"/>
          <w:w w:val="100"/>
          <w:highlight w:val="none"/>
          <w:lang w:eastAsia="zh-CN"/>
        </w:rPr>
        <w:t>提</w:t>
      </w:r>
      <w:r>
        <w:rPr>
          <w:rFonts w:hint="eastAsia" w:ascii="仿宋_GB2312" w:hAnsi="仿宋_GB2312" w:eastAsia="仿宋_GB2312" w:cs="仿宋_GB2312"/>
          <w:color w:val="auto"/>
          <w:w w:val="100"/>
          <w:highlight w:val="none"/>
          <w:lang w:eastAsia="zh-CN"/>
        </w:rPr>
        <w:t>出</w:t>
      </w:r>
      <w:r>
        <w:rPr>
          <w:rFonts w:hint="eastAsia" w:ascii="仿宋_GB2312" w:hAnsi="仿宋_GB2312" w:eastAsia="仿宋_GB2312" w:cs="仿宋_GB2312"/>
          <w:color w:val="auto"/>
          <w:spacing w:val="-15"/>
          <w:w w:val="100"/>
          <w:highlight w:val="none"/>
          <w:lang w:eastAsia="zh-CN"/>
        </w:rPr>
        <w:t>，</w:t>
      </w:r>
      <w:r>
        <w:rPr>
          <w:rFonts w:hint="eastAsia" w:ascii="仿宋_GB2312" w:hAnsi="仿宋_GB2312" w:eastAsia="仿宋_GB2312" w:cs="仿宋_GB2312"/>
          <w:color w:val="auto"/>
          <w:w w:val="100"/>
          <w:highlight w:val="none"/>
          <w:lang w:eastAsia="zh-CN"/>
        </w:rPr>
        <w:t>将</w:t>
      </w:r>
      <w:r>
        <w:rPr>
          <w:rFonts w:hint="eastAsia" w:ascii="仿宋_GB2312" w:hAnsi="仿宋_GB2312" w:eastAsia="仿宋_GB2312" w:cs="仿宋_GB2312"/>
          <w:color w:val="auto"/>
          <w:spacing w:val="1"/>
          <w:w w:val="100"/>
          <w:highlight w:val="none"/>
          <w:lang w:eastAsia="zh-CN"/>
        </w:rPr>
        <w:t>合同</w:t>
      </w:r>
      <w:r>
        <w:rPr>
          <w:rFonts w:hint="eastAsia" w:ascii="仿宋_GB2312" w:hAnsi="仿宋_GB2312" w:eastAsia="仿宋_GB2312" w:cs="仿宋_GB2312"/>
          <w:color w:val="auto"/>
          <w:w w:val="100"/>
          <w:highlight w:val="none"/>
          <w:lang w:eastAsia="zh-CN"/>
        </w:rPr>
        <w:t>电</w:t>
      </w:r>
      <w:r>
        <w:rPr>
          <w:rFonts w:hint="eastAsia" w:ascii="仿宋_GB2312" w:hAnsi="仿宋_GB2312" w:eastAsia="仿宋_GB2312" w:cs="仿宋_GB2312"/>
          <w:color w:val="auto"/>
          <w:spacing w:val="1"/>
          <w:w w:val="100"/>
          <w:highlight w:val="none"/>
          <w:lang w:eastAsia="zh-CN"/>
        </w:rPr>
        <w:t>量</w:t>
      </w:r>
      <w:r>
        <w:rPr>
          <w:rFonts w:hint="eastAsia" w:ascii="仿宋_GB2312" w:hAnsi="仿宋_GB2312" w:eastAsia="仿宋_GB2312" w:cs="仿宋_GB2312"/>
          <w:color w:val="auto"/>
          <w:w w:val="100"/>
          <w:highlight w:val="none"/>
          <w:lang w:eastAsia="zh-CN"/>
        </w:rPr>
        <w:t>在合同</w:t>
      </w:r>
      <w:r>
        <w:rPr>
          <w:rFonts w:hint="eastAsia" w:ascii="仿宋_GB2312" w:hAnsi="仿宋_GB2312" w:eastAsia="仿宋_GB2312" w:cs="仿宋_GB2312"/>
          <w:color w:val="auto"/>
          <w:spacing w:val="1"/>
          <w:w w:val="100"/>
          <w:highlight w:val="none"/>
          <w:lang w:eastAsia="zh-CN"/>
        </w:rPr>
        <w:t>周</w:t>
      </w:r>
      <w:r>
        <w:rPr>
          <w:rFonts w:hint="eastAsia" w:ascii="仿宋_GB2312" w:hAnsi="仿宋_GB2312" w:eastAsia="仿宋_GB2312" w:cs="仿宋_GB2312"/>
          <w:color w:val="auto"/>
          <w:w w:val="100"/>
          <w:highlight w:val="none"/>
          <w:lang w:eastAsia="zh-CN"/>
        </w:rPr>
        <w:t>期内</w:t>
      </w:r>
      <w:r>
        <w:rPr>
          <w:rFonts w:hint="eastAsia" w:ascii="仿宋_GB2312" w:hAnsi="仿宋_GB2312" w:eastAsia="仿宋_GB2312" w:cs="仿宋_GB2312"/>
          <w:color w:val="auto"/>
          <w:spacing w:val="1"/>
          <w:w w:val="100"/>
          <w:highlight w:val="none"/>
          <w:lang w:eastAsia="zh-CN"/>
        </w:rPr>
        <w:t>转</w:t>
      </w:r>
      <w:r>
        <w:rPr>
          <w:rFonts w:hint="eastAsia" w:ascii="仿宋_GB2312" w:hAnsi="仿宋_GB2312" w:eastAsia="仿宋_GB2312" w:cs="仿宋_GB2312"/>
          <w:color w:val="auto"/>
          <w:w w:val="100"/>
          <w:highlight w:val="none"/>
          <w:lang w:eastAsia="zh-CN"/>
        </w:rPr>
        <w:t>换为</w:t>
      </w:r>
      <w:r>
        <w:rPr>
          <w:rFonts w:hint="eastAsia" w:ascii="仿宋_GB2312" w:hAnsi="仿宋_GB2312" w:eastAsia="仿宋_GB2312" w:cs="仿宋_GB2312"/>
          <w:color w:val="auto"/>
          <w:spacing w:val="1"/>
          <w:w w:val="100"/>
          <w:highlight w:val="none"/>
          <w:lang w:eastAsia="zh-CN"/>
        </w:rPr>
        <w:t>分</w:t>
      </w:r>
      <w:r>
        <w:rPr>
          <w:rFonts w:hint="eastAsia" w:ascii="仿宋_GB2312" w:hAnsi="仿宋_GB2312" w:eastAsia="仿宋_GB2312" w:cs="仿宋_GB2312"/>
          <w:color w:val="auto"/>
          <w:w w:val="100"/>
          <w:highlight w:val="none"/>
          <w:lang w:eastAsia="zh-CN"/>
        </w:rPr>
        <w:t>时电</w:t>
      </w:r>
      <w:r>
        <w:rPr>
          <w:rFonts w:hint="eastAsia" w:ascii="仿宋_GB2312" w:hAnsi="仿宋_GB2312" w:eastAsia="仿宋_GB2312" w:cs="仿宋_GB2312"/>
          <w:color w:val="auto"/>
          <w:spacing w:val="1"/>
          <w:w w:val="100"/>
          <w:highlight w:val="none"/>
          <w:lang w:eastAsia="zh-CN"/>
        </w:rPr>
        <w:t>量</w:t>
      </w:r>
      <w:r>
        <w:rPr>
          <w:rFonts w:hint="eastAsia" w:ascii="仿宋_GB2312" w:hAnsi="仿宋_GB2312" w:eastAsia="仿宋_GB2312" w:cs="仿宋_GB2312"/>
          <w:color w:val="auto"/>
          <w:w w:val="100"/>
          <w:highlight w:val="none"/>
          <w:lang w:eastAsia="zh-CN"/>
        </w:rPr>
        <w:t>。</w:t>
      </w:r>
    </w:p>
    <w:p>
      <w:pPr>
        <w:pStyle w:val="7"/>
        <w:pageBreakBefore w:val="0"/>
        <w:kinsoku/>
        <w:wordWrap/>
        <w:overflowPunct/>
        <w:topLinePunct w:val="0"/>
        <w:autoSpaceDE/>
        <w:autoSpaceDN/>
        <w:bidi w:val="0"/>
        <w:adjustRightInd/>
        <w:spacing w:line="560" w:lineRule="exact"/>
        <w:ind w:left="0" w:right="0" w:firstLine="644" w:firstLineChars="200"/>
        <w:jc w:val="both"/>
        <w:textAlignment w:val="auto"/>
        <w:outlineLvl w:val="2"/>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spacing w:val="1"/>
          <w:w w:val="100"/>
          <w:highlight w:val="none"/>
          <w:lang w:eastAsia="zh-CN"/>
        </w:rPr>
        <w:t>3</w:t>
      </w:r>
      <w:r>
        <w:rPr>
          <w:rFonts w:hint="eastAsia" w:ascii="仿宋_GB2312" w:hAnsi="仿宋_GB2312" w:eastAsia="仿宋_GB2312" w:cs="仿宋_GB2312"/>
          <w:color w:val="auto"/>
          <w:spacing w:val="-1"/>
          <w:w w:val="100"/>
          <w:highlight w:val="none"/>
          <w:lang w:eastAsia="zh-CN"/>
        </w:rPr>
        <w:t>.</w:t>
      </w:r>
      <w:r>
        <w:rPr>
          <w:rFonts w:hint="eastAsia" w:ascii="仿宋_GB2312" w:hAnsi="仿宋_GB2312" w:eastAsia="仿宋_GB2312" w:cs="仿宋_GB2312"/>
          <w:color w:val="auto"/>
          <w:spacing w:val="1"/>
          <w:w w:val="100"/>
          <w:highlight w:val="none"/>
          <w:lang w:val="en-US" w:eastAsia="zh-CN"/>
        </w:rPr>
        <w:t>4</w:t>
      </w:r>
      <w:r>
        <w:rPr>
          <w:rFonts w:hint="eastAsia" w:ascii="仿宋_GB2312" w:hAnsi="仿宋_GB2312" w:eastAsia="仿宋_GB2312" w:cs="仿宋_GB2312"/>
          <w:color w:val="auto"/>
          <w:spacing w:val="-1"/>
          <w:w w:val="100"/>
          <w:highlight w:val="none"/>
          <w:lang w:eastAsia="zh-CN"/>
        </w:rPr>
        <w:t>.</w:t>
      </w:r>
      <w:r>
        <w:rPr>
          <w:rFonts w:hint="eastAsia" w:ascii="仿宋_GB2312" w:hAnsi="仿宋_GB2312" w:eastAsia="仿宋_GB2312" w:cs="仿宋_GB2312"/>
          <w:color w:val="auto"/>
          <w:w w:val="100"/>
          <w:highlight w:val="none"/>
          <w:lang w:eastAsia="zh-CN"/>
        </w:rPr>
        <w:t>2典型分解曲线</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典型分解</w:t>
      </w:r>
      <w:r>
        <w:rPr>
          <w:rFonts w:hint="eastAsia" w:ascii="仿宋_GB2312" w:hAnsi="仿宋_GB2312" w:eastAsia="仿宋_GB2312" w:cs="仿宋_GB2312"/>
          <w:color w:val="auto"/>
          <w:spacing w:val="2"/>
          <w:w w:val="100"/>
          <w:highlight w:val="none"/>
          <w:lang w:eastAsia="zh-CN"/>
        </w:rPr>
        <w:t>曲</w:t>
      </w:r>
      <w:r>
        <w:rPr>
          <w:rFonts w:hint="eastAsia" w:ascii="仿宋_GB2312" w:hAnsi="仿宋_GB2312" w:eastAsia="仿宋_GB2312" w:cs="仿宋_GB2312"/>
          <w:color w:val="auto"/>
          <w:w w:val="100"/>
          <w:highlight w:val="none"/>
          <w:lang w:eastAsia="zh-CN"/>
        </w:rPr>
        <w:t>线由海南电力</w:t>
      </w:r>
      <w:r>
        <w:rPr>
          <w:rFonts w:hint="eastAsia" w:ascii="仿宋_GB2312" w:hAnsi="仿宋_GB2312" w:eastAsia="仿宋_GB2312" w:cs="仿宋_GB2312"/>
          <w:color w:val="auto"/>
          <w:spacing w:val="2"/>
          <w:w w:val="100"/>
          <w:highlight w:val="none"/>
          <w:lang w:eastAsia="zh-CN"/>
        </w:rPr>
        <w:t>交</w:t>
      </w:r>
      <w:r>
        <w:rPr>
          <w:rFonts w:hint="eastAsia" w:ascii="仿宋_GB2312" w:hAnsi="仿宋_GB2312" w:eastAsia="仿宋_GB2312" w:cs="仿宋_GB2312"/>
          <w:color w:val="auto"/>
          <w:w w:val="100"/>
          <w:highlight w:val="none"/>
          <w:lang w:eastAsia="zh-CN"/>
        </w:rPr>
        <w:t>易中</w:t>
      </w:r>
      <w:r>
        <w:rPr>
          <w:rFonts w:hint="eastAsia" w:ascii="仿宋_GB2312" w:hAnsi="仿宋_GB2312" w:eastAsia="仿宋_GB2312" w:cs="仿宋_GB2312"/>
          <w:color w:val="auto"/>
          <w:spacing w:val="2"/>
          <w:w w:val="100"/>
          <w:highlight w:val="none"/>
          <w:lang w:eastAsia="zh-CN"/>
        </w:rPr>
        <w:t>心</w:t>
      </w:r>
      <w:r>
        <w:rPr>
          <w:rFonts w:hint="eastAsia" w:ascii="仿宋_GB2312" w:hAnsi="仿宋_GB2312" w:eastAsia="仿宋_GB2312" w:cs="仿宋_GB2312"/>
          <w:color w:val="auto"/>
          <w:w w:val="100"/>
          <w:highlight w:val="none"/>
          <w:lang w:eastAsia="zh-CN"/>
        </w:rPr>
        <w:t>会同</w:t>
      </w:r>
      <w:r>
        <w:rPr>
          <w:rFonts w:hint="eastAsia" w:ascii="仿宋_GB2312" w:hAnsi="仿宋_GB2312" w:eastAsia="仿宋_GB2312" w:cs="仿宋_GB2312"/>
          <w:color w:val="auto"/>
          <w:spacing w:val="2"/>
          <w:w w:val="100"/>
          <w:highlight w:val="none"/>
          <w:lang w:eastAsia="zh-CN"/>
        </w:rPr>
        <w:t>调</w:t>
      </w:r>
      <w:r>
        <w:rPr>
          <w:rFonts w:hint="eastAsia" w:ascii="仿宋_GB2312" w:hAnsi="仿宋_GB2312" w:eastAsia="仿宋_GB2312" w:cs="仿宋_GB2312"/>
          <w:color w:val="auto"/>
          <w:w w:val="100"/>
          <w:highlight w:val="none"/>
          <w:lang w:eastAsia="zh-CN"/>
        </w:rPr>
        <w:t>度机</w:t>
      </w:r>
      <w:r>
        <w:rPr>
          <w:rFonts w:hint="eastAsia" w:ascii="仿宋_GB2312" w:hAnsi="仿宋_GB2312" w:eastAsia="仿宋_GB2312" w:cs="仿宋_GB2312"/>
          <w:color w:val="auto"/>
          <w:spacing w:val="2"/>
          <w:w w:val="100"/>
          <w:highlight w:val="none"/>
          <w:lang w:eastAsia="zh-CN"/>
        </w:rPr>
        <w:t>构根据统调负荷特性、用户负荷特性、发电特性等</w:t>
      </w:r>
      <w:r>
        <w:rPr>
          <w:rFonts w:hint="eastAsia" w:ascii="仿宋_GB2312" w:hAnsi="仿宋_GB2312" w:eastAsia="仿宋_GB2312" w:cs="仿宋_GB2312"/>
          <w:color w:val="auto"/>
          <w:w w:val="100"/>
          <w:highlight w:val="none"/>
          <w:lang w:eastAsia="zh-CN"/>
        </w:rPr>
        <w:t>制定</w:t>
      </w:r>
      <w:r>
        <w:rPr>
          <w:rFonts w:hint="eastAsia" w:ascii="仿宋_GB2312" w:hAnsi="仿宋_GB2312" w:eastAsia="仿宋_GB2312" w:cs="仿宋_GB2312"/>
          <w:color w:val="auto"/>
          <w:spacing w:val="2"/>
          <w:w w:val="100"/>
          <w:highlight w:val="none"/>
          <w:lang w:eastAsia="zh-CN"/>
        </w:rPr>
        <w:t>发</w:t>
      </w:r>
      <w:r>
        <w:rPr>
          <w:rFonts w:hint="eastAsia" w:ascii="仿宋_GB2312" w:hAnsi="仿宋_GB2312" w:eastAsia="仿宋_GB2312" w:cs="仿宋_GB2312"/>
          <w:color w:val="auto"/>
          <w:w w:val="100"/>
          <w:highlight w:val="none"/>
          <w:lang w:eastAsia="zh-CN"/>
        </w:rPr>
        <w:t>布</w:t>
      </w:r>
      <w:r>
        <w:rPr>
          <w:rFonts w:hint="eastAsia" w:ascii="仿宋_GB2312" w:hAnsi="仿宋_GB2312" w:eastAsia="仿宋_GB2312" w:cs="仿宋_GB2312"/>
          <w:color w:val="auto"/>
          <w:spacing w:val="-16"/>
          <w:w w:val="100"/>
          <w:highlight w:val="none"/>
          <w:lang w:eastAsia="zh-CN"/>
        </w:rPr>
        <w:t>，经营主体可选择典型曲线</w:t>
      </w:r>
      <w:r>
        <w:rPr>
          <w:rFonts w:hint="eastAsia" w:ascii="仿宋_GB2312" w:hAnsi="仿宋_GB2312" w:eastAsia="仿宋_GB2312" w:cs="仿宋_GB2312"/>
          <w:color w:val="auto"/>
          <w:spacing w:val="-16"/>
          <w:w w:val="100"/>
          <w:highlight w:val="none"/>
          <w:lang w:val="en-US" w:eastAsia="zh-CN"/>
        </w:rPr>
        <w:t>中的年分月、月分日及日分时电量比例</w:t>
      </w:r>
      <w:r>
        <w:rPr>
          <w:rFonts w:hint="eastAsia" w:ascii="仿宋_GB2312" w:hAnsi="仿宋_GB2312" w:eastAsia="仿宋_GB2312" w:cs="仿宋_GB2312"/>
          <w:color w:val="auto"/>
          <w:w w:val="100"/>
          <w:highlight w:val="none"/>
          <w:lang w:eastAsia="zh-CN"/>
        </w:rPr>
        <w:t>将合同</w:t>
      </w:r>
      <w:r>
        <w:rPr>
          <w:rFonts w:hint="eastAsia" w:ascii="仿宋_GB2312" w:hAnsi="仿宋_GB2312" w:eastAsia="仿宋_GB2312" w:cs="仿宋_GB2312"/>
          <w:color w:val="auto"/>
          <w:spacing w:val="1"/>
          <w:w w:val="100"/>
          <w:highlight w:val="none"/>
          <w:lang w:eastAsia="zh-CN"/>
        </w:rPr>
        <w:t>电</w:t>
      </w:r>
      <w:r>
        <w:rPr>
          <w:rFonts w:hint="eastAsia" w:ascii="仿宋_GB2312" w:hAnsi="仿宋_GB2312" w:eastAsia="仿宋_GB2312" w:cs="仿宋_GB2312"/>
          <w:color w:val="auto"/>
          <w:w w:val="100"/>
          <w:highlight w:val="none"/>
          <w:lang w:eastAsia="zh-CN"/>
        </w:rPr>
        <w:t>量在</w:t>
      </w:r>
      <w:r>
        <w:rPr>
          <w:rFonts w:hint="eastAsia" w:ascii="仿宋_GB2312" w:hAnsi="仿宋_GB2312" w:eastAsia="仿宋_GB2312" w:cs="仿宋_GB2312"/>
          <w:color w:val="auto"/>
          <w:spacing w:val="1"/>
          <w:w w:val="100"/>
          <w:highlight w:val="none"/>
          <w:lang w:eastAsia="zh-CN"/>
        </w:rPr>
        <w:t>合同</w:t>
      </w:r>
      <w:r>
        <w:rPr>
          <w:rFonts w:hint="eastAsia" w:ascii="仿宋_GB2312" w:hAnsi="仿宋_GB2312" w:eastAsia="仿宋_GB2312" w:cs="仿宋_GB2312"/>
          <w:color w:val="auto"/>
          <w:w w:val="100"/>
          <w:highlight w:val="none"/>
          <w:lang w:eastAsia="zh-CN"/>
        </w:rPr>
        <w:t>周</w:t>
      </w:r>
      <w:r>
        <w:rPr>
          <w:rFonts w:hint="eastAsia" w:ascii="仿宋_GB2312" w:hAnsi="仿宋_GB2312" w:eastAsia="仿宋_GB2312" w:cs="仿宋_GB2312"/>
          <w:color w:val="auto"/>
          <w:spacing w:val="1"/>
          <w:w w:val="100"/>
          <w:highlight w:val="none"/>
          <w:lang w:eastAsia="zh-CN"/>
        </w:rPr>
        <w:t>期</w:t>
      </w:r>
      <w:r>
        <w:rPr>
          <w:rFonts w:hint="eastAsia" w:ascii="仿宋_GB2312" w:hAnsi="仿宋_GB2312" w:eastAsia="仿宋_GB2312" w:cs="仿宋_GB2312"/>
          <w:color w:val="auto"/>
          <w:w w:val="100"/>
          <w:highlight w:val="none"/>
          <w:lang w:eastAsia="zh-CN"/>
        </w:rPr>
        <w:t>内转</w:t>
      </w:r>
      <w:r>
        <w:rPr>
          <w:rFonts w:hint="eastAsia" w:ascii="仿宋_GB2312" w:hAnsi="仿宋_GB2312" w:eastAsia="仿宋_GB2312" w:cs="仿宋_GB2312"/>
          <w:color w:val="auto"/>
          <w:spacing w:val="1"/>
          <w:w w:val="100"/>
          <w:highlight w:val="none"/>
          <w:lang w:eastAsia="zh-CN"/>
        </w:rPr>
        <w:t>换</w:t>
      </w:r>
      <w:r>
        <w:rPr>
          <w:rFonts w:hint="eastAsia" w:ascii="仿宋_GB2312" w:hAnsi="仿宋_GB2312" w:eastAsia="仿宋_GB2312" w:cs="仿宋_GB2312"/>
          <w:color w:val="auto"/>
          <w:w w:val="100"/>
          <w:highlight w:val="none"/>
          <w:lang w:eastAsia="zh-CN"/>
        </w:rPr>
        <w:t>为</w:t>
      </w:r>
      <w:r>
        <w:rPr>
          <w:rFonts w:hint="eastAsia" w:ascii="仿宋_GB2312" w:hAnsi="仿宋_GB2312" w:eastAsia="仿宋_GB2312" w:cs="仿宋_GB2312"/>
          <w:color w:val="auto"/>
          <w:spacing w:val="1"/>
          <w:w w:val="100"/>
          <w:highlight w:val="none"/>
          <w:lang w:eastAsia="zh-CN"/>
        </w:rPr>
        <w:t>分</w:t>
      </w:r>
      <w:r>
        <w:rPr>
          <w:rFonts w:hint="eastAsia" w:ascii="仿宋_GB2312" w:hAnsi="仿宋_GB2312" w:eastAsia="仿宋_GB2312" w:cs="仿宋_GB2312"/>
          <w:color w:val="auto"/>
          <w:w w:val="100"/>
          <w:highlight w:val="none"/>
          <w:lang w:eastAsia="zh-CN"/>
        </w:rPr>
        <w:t>时电量。</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val="en-US" w:eastAsia="zh-CN"/>
        </w:rPr>
        <w:t>（1）年分月电量比例（Y）：年度分月电量比例。</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val="en-US" w:eastAsia="zh-CN"/>
        </w:rPr>
        <w:t>（2）月分日电量比例（M）：工作日、周六、周日、法定节假日、调休节假日等多种典型日的电量比例。</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val="en-US" w:eastAsia="zh-CN"/>
        </w:rPr>
        <w:t>（3）日分时电量比例（D）：将日电量分解至交易标的内各小时的电量比例。</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eastAsia="zh-CN"/>
        </w:rPr>
        <w:t>具体以海南电力交易中心发布的为准。</w:t>
      </w:r>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17" w:name="_Toc12951"/>
      <w:r>
        <w:rPr>
          <w:rFonts w:hint="eastAsia" w:ascii="黑体" w:hAnsi="黑体" w:eastAsia="黑体" w:cs="黑体"/>
          <w:b w:val="0"/>
          <w:bCs w:val="0"/>
          <w:color w:val="auto"/>
          <w:w w:val="100"/>
          <w:highlight w:val="none"/>
          <w:lang w:eastAsia="zh-CN"/>
        </w:rPr>
        <w:t>4.价格机制</w:t>
      </w:r>
      <w:bookmarkEnd w:id="17"/>
    </w:p>
    <w:p>
      <w:pPr>
        <w:pStyle w:val="7"/>
        <w:pageBreakBefore w:val="0"/>
        <w:kinsoku/>
        <w:wordWrap/>
        <w:overflowPunct/>
        <w:topLinePunct w:val="0"/>
        <w:autoSpaceDE/>
        <w:autoSpaceDN/>
        <w:bidi w:val="0"/>
        <w:adjustRightInd/>
        <w:spacing w:line="560" w:lineRule="exact"/>
        <w:ind w:left="0" w:right="0" w:firstLine="643" w:firstLineChars="200"/>
        <w:jc w:val="both"/>
        <w:textAlignment w:val="auto"/>
        <w:outlineLvl w:val="1"/>
        <w:rPr>
          <w:rFonts w:hint="default" w:ascii="仿宋_GB2312" w:hAnsi="仿宋_GB2312" w:eastAsia="仿宋_GB2312" w:cs="仿宋_GB2312"/>
          <w:b/>
          <w:bCs/>
          <w:color w:val="auto"/>
          <w:w w:val="100"/>
          <w:highlight w:val="none"/>
          <w:lang w:val="en-US" w:eastAsia="zh-CN"/>
        </w:rPr>
      </w:pPr>
      <w:r>
        <w:rPr>
          <w:rFonts w:hint="eastAsia" w:ascii="仿宋_GB2312" w:hAnsi="仿宋_GB2312" w:eastAsia="仿宋_GB2312" w:cs="仿宋_GB2312"/>
          <w:b/>
          <w:bCs/>
          <w:color w:val="auto"/>
          <w:w w:val="100"/>
          <w:highlight w:val="none"/>
          <w:lang w:eastAsia="zh-CN"/>
        </w:rPr>
        <w:t>4.1</w:t>
      </w:r>
      <w:r>
        <w:rPr>
          <w:rFonts w:hint="eastAsia" w:ascii="仿宋_GB2312" w:hAnsi="仿宋_GB2312" w:eastAsia="仿宋_GB2312" w:cs="仿宋_GB2312"/>
          <w:b/>
          <w:bCs/>
          <w:color w:val="auto"/>
          <w:w w:val="100"/>
          <w:highlight w:val="none"/>
          <w:lang w:val="en-US" w:eastAsia="zh-CN"/>
        </w:rPr>
        <w:t>价格构成</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val="en-US" w:eastAsia="zh-CN"/>
        </w:rPr>
        <w:t>4.1.1电力</w:t>
      </w:r>
      <w:r>
        <w:rPr>
          <w:rFonts w:hint="eastAsia" w:ascii="仿宋_GB2312" w:hAnsi="仿宋_GB2312" w:eastAsia="仿宋_GB2312" w:cs="仿宋_GB2312"/>
          <w:color w:val="auto"/>
          <w:w w:val="100"/>
          <w:highlight w:val="none"/>
          <w:lang w:eastAsia="zh-CN"/>
        </w:rPr>
        <w:t>用户的用电价格由电能量交易价格、上网环节线损费用、输配电价、系统运行费用、政府性基金及附加等组成，促进</w:t>
      </w:r>
      <w:r>
        <w:rPr>
          <w:rFonts w:hint="eastAsia" w:ascii="仿宋_GB2312" w:hAnsi="仿宋_GB2312" w:eastAsia="仿宋_GB2312" w:cs="仿宋_GB2312"/>
          <w:color w:val="auto"/>
          <w:w w:val="100"/>
          <w:highlight w:val="none"/>
          <w:lang w:val="en-US" w:eastAsia="zh-CN"/>
        </w:rPr>
        <w:t>电力</w:t>
      </w:r>
      <w:r>
        <w:rPr>
          <w:rFonts w:hint="eastAsia" w:ascii="仿宋_GB2312" w:hAnsi="仿宋_GB2312" w:eastAsia="仿宋_GB2312" w:cs="仿宋_GB2312"/>
          <w:color w:val="auto"/>
          <w:w w:val="100"/>
          <w:highlight w:val="none"/>
          <w:lang w:eastAsia="zh-CN"/>
        </w:rPr>
        <w:t>用户公平承担系统责任。输配电价、政府性基金及附加按照国家有关规定执行。</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val="en-US" w:eastAsia="zh-CN"/>
        </w:rPr>
        <w:t>4.1.2</w:t>
      </w:r>
      <w:r>
        <w:rPr>
          <w:rFonts w:hint="eastAsia" w:ascii="仿宋_GB2312" w:hAnsi="仿宋_GB2312" w:eastAsia="仿宋_GB2312" w:cs="仿宋_GB2312"/>
          <w:color w:val="auto"/>
          <w:w w:val="100"/>
          <w:highlight w:val="none"/>
          <w:lang w:eastAsia="zh-CN"/>
        </w:rPr>
        <w:t>发电侧成交价格包括脱硫、脱硝、除尘和超低排放电价等价格，并按照国家有关规定执行。燃煤发电市场交易价格执行“基准价+上下浮动”价格机制</w:t>
      </w:r>
      <w:r>
        <w:rPr>
          <w:rFonts w:hint="eastAsia" w:ascii="仿宋_GB2312" w:hAnsi="仿宋_GB2312" w:eastAsia="仿宋_GB2312" w:cs="仿宋_GB2312"/>
          <w:color w:val="auto"/>
          <w:spacing w:val="1"/>
          <w:w w:val="100"/>
          <w:highlight w:val="none"/>
          <w:lang w:eastAsia="zh-CN"/>
        </w:rPr>
        <w:t>。</w:t>
      </w:r>
    </w:p>
    <w:p>
      <w:pPr>
        <w:pStyle w:val="7"/>
        <w:pageBreakBefore w:val="0"/>
        <w:kinsoku/>
        <w:wordWrap/>
        <w:overflowPunct/>
        <w:topLinePunct w:val="0"/>
        <w:autoSpaceDE/>
        <w:autoSpaceDN/>
        <w:bidi w:val="0"/>
        <w:adjustRightInd/>
        <w:spacing w:line="560" w:lineRule="exact"/>
        <w:ind w:left="0" w:right="0" w:firstLine="643" w:firstLineChars="200"/>
        <w:jc w:val="both"/>
        <w:textAlignment w:val="auto"/>
        <w:outlineLvl w:val="1"/>
        <w:rPr>
          <w:rFonts w:ascii="仿宋_GB2312" w:hAnsi="仿宋_GB2312" w:eastAsia="仿宋_GB2312" w:cs="仿宋_GB2312"/>
          <w:b/>
          <w:bCs/>
          <w:color w:val="auto"/>
          <w:w w:val="100"/>
          <w:highlight w:val="none"/>
          <w:lang w:eastAsia="zh-CN"/>
        </w:rPr>
      </w:pPr>
      <w:r>
        <w:rPr>
          <w:rFonts w:hint="eastAsia" w:ascii="仿宋_GB2312" w:hAnsi="仿宋_GB2312" w:eastAsia="仿宋_GB2312" w:cs="仿宋_GB2312"/>
          <w:b/>
          <w:bCs/>
          <w:color w:val="auto"/>
          <w:w w:val="100"/>
          <w:highlight w:val="none"/>
          <w:lang w:eastAsia="zh-CN"/>
        </w:rPr>
        <w:t>4.2市场化价格形成机制</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除计划电量执行政府确定的价格外，中长期</w:t>
      </w:r>
      <w:r>
        <w:rPr>
          <w:rFonts w:hint="eastAsia" w:ascii="仿宋_GB2312" w:hAnsi="仿宋_GB2312" w:eastAsia="仿宋_GB2312" w:cs="仿宋_GB2312"/>
          <w:color w:val="auto"/>
          <w:w w:val="100"/>
          <w:highlight w:val="none"/>
          <w:lang w:val="en-US" w:eastAsia="zh-CN"/>
        </w:rPr>
        <w:t>电能量</w:t>
      </w:r>
      <w:r>
        <w:rPr>
          <w:rFonts w:hint="eastAsia" w:ascii="仿宋_GB2312" w:hAnsi="仿宋_GB2312" w:eastAsia="仿宋_GB2312" w:cs="仿宋_GB2312"/>
          <w:color w:val="auto"/>
          <w:w w:val="100"/>
          <w:highlight w:val="none"/>
          <w:lang w:eastAsia="zh-CN"/>
        </w:rPr>
        <w:t>交易的成交价格应当由经营主体通过双边协商、集中交易等市场化方式形成，第三方不得干预。</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2"/>
        <w:rPr>
          <w:rFonts w:ascii="仿宋_GB2312" w:hAnsi="仿宋_GB2312" w:eastAsia="仿宋_GB2312" w:cs="仿宋_GB2312"/>
          <w:color w:val="auto"/>
          <w:spacing w:val="2"/>
          <w:w w:val="100"/>
          <w:highlight w:val="none"/>
          <w:lang w:eastAsia="zh-CN"/>
        </w:rPr>
      </w:pPr>
      <w:r>
        <w:rPr>
          <w:rFonts w:hint="eastAsia" w:ascii="仿宋_GB2312" w:hAnsi="仿宋_GB2312" w:eastAsia="仿宋_GB2312" w:cs="仿宋_GB2312"/>
          <w:color w:val="auto"/>
          <w:w w:val="100"/>
          <w:highlight w:val="none"/>
          <w:lang w:eastAsia="zh-CN"/>
        </w:rPr>
        <w:t>4.2.1双</w:t>
      </w:r>
      <w:r>
        <w:rPr>
          <w:rFonts w:hint="eastAsia" w:ascii="仿宋_GB2312" w:hAnsi="仿宋_GB2312" w:eastAsia="仿宋_GB2312" w:cs="仿宋_GB2312"/>
          <w:color w:val="auto"/>
          <w:spacing w:val="2"/>
          <w:w w:val="100"/>
          <w:highlight w:val="none"/>
          <w:lang w:eastAsia="zh-CN"/>
        </w:rPr>
        <w:t>边</w:t>
      </w:r>
      <w:r>
        <w:rPr>
          <w:rFonts w:hint="eastAsia" w:ascii="仿宋_GB2312" w:hAnsi="仿宋_GB2312" w:eastAsia="仿宋_GB2312" w:cs="仿宋_GB2312"/>
          <w:color w:val="auto"/>
          <w:w w:val="100"/>
          <w:highlight w:val="none"/>
          <w:lang w:eastAsia="zh-CN"/>
        </w:rPr>
        <w:t>协</w:t>
      </w:r>
      <w:r>
        <w:rPr>
          <w:rFonts w:hint="eastAsia" w:ascii="仿宋_GB2312" w:hAnsi="仿宋_GB2312" w:eastAsia="仿宋_GB2312" w:cs="仿宋_GB2312"/>
          <w:color w:val="auto"/>
          <w:spacing w:val="2"/>
          <w:w w:val="100"/>
          <w:highlight w:val="none"/>
          <w:lang w:eastAsia="zh-CN"/>
        </w:rPr>
        <w:t>商</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spacing w:val="2"/>
          <w:w w:val="100"/>
          <w:highlight w:val="none"/>
          <w:lang w:eastAsia="zh-CN"/>
        </w:rPr>
      </w:pPr>
      <w:r>
        <w:rPr>
          <w:rFonts w:hint="eastAsia" w:ascii="仿宋_GB2312" w:hAnsi="仿宋_GB2312" w:eastAsia="仿宋_GB2312" w:cs="仿宋_GB2312"/>
          <w:color w:val="auto"/>
          <w:w w:val="100"/>
          <w:highlight w:val="none"/>
          <w:lang w:eastAsia="zh-CN"/>
        </w:rPr>
        <w:t>双边协商成交价格（含价格形成机制）由双方在合同中协商确定。</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8" w:firstLineChars="200"/>
        <w:jc w:val="both"/>
        <w:textAlignment w:val="auto"/>
        <w:outlineLvl w:val="2"/>
        <w:rPr>
          <w:rFonts w:ascii="仿宋_GB2312" w:hAnsi="仿宋_GB2312" w:eastAsia="仿宋_GB2312" w:cs="仿宋_GB2312"/>
          <w:color w:val="auto"/>
          <w:spacing w:val="2"/>
          <w:w w:val="100"/>
          <w:highlight w:val="none"/>
          <w:lang w:eastAsia="zh-CN"/>
        </w:rPr>
      </w:pPr>
      <w:r>
        <w:rPr>
          <w:rFonts w:hint="eastAsia" w:ascii="仿宋_GB2312" w:hAnsi="仿宋_GB2312" w:eastAsia="仿宋_GB2312" w:cs="仿宋_GB2312"/>
          <w:color w:val="auto"/>
          <w:spacing w:val="2"/>
          <w:w w:val="100"/>
          <w:highlight w:val="none"/>
          <w:lang w:eastAsia="zh-CN"/>
        </w:rPr>
        <w:t>4.2.2集中交易</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3"/>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4.2.2.1集</w:t>
      </w:r>
      <w:r>
        <w:rPr>
          <w:rFonts w:hint="eastAsia" w:ascii="仿宋_GB2312" w:hAnsi="仿宋_GB2312" w:eastAsia="仿宋_GB2312" w:cs="仿宋_GB2312"/>
          <w:color w:val="auto"/>
          <w:spacing w:val="2"/>
          <w:w w:val="100"/>
          <w:highlight w:val="none"/>
          <w:lang w:eastAsia="zh-CN"/>
        </w:rPr>
        <w:t>中</w:t>
      </w:r>
      <w:r>
        <w:rPr>
          <w:rFonts w:hint="eastAsia" w:ascii="仿宋_GB2312" w:hAnsi="仿宋_GB2312" w:eastAsia="仿宋_GB2312" w:cs="仿宋_GB2312"/>
          <w:color w:val="auto"/>
          <w:w w:val="100"/>
          <w:highlight w:val="none"/>
          <w:lang w:eastAsia="zh-CN"/>
        </w:rPr>
        <w:t>竞价</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集中竞价采用高低匹配的价格形成机制，将买方申报按价格由高到低排序、卖方申报按价格由低到高排序，当价格相同时以申报时间优先的原则排序，依次配对形成交易对。</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交易对价差=买方申报价格–卖方申报价格</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交易对价差为正值或零时成交，价差大的交易对优先成交；交易对价差相同时，申报时间较早的优先成交，申报时间以系统记录时间为准，当交易对价差小于零时结束匹配。当交易对价差、申报时间均相同时，根据经营主体申报电量等比例出清。</w:t>
      </w:r>
    </w:p>
    <w:p>
      <w:pPr>
        <w:pStyle w:val="7"/>
        <w:keepNext w:val="0"/>
        <w:keepLines w:val="0"/>
        <w:pageBreakBefore w:val="0"/>
        <w:widowControl w:val="0"/>
        <w:tabs>
          <w:tab w:val="left" w:pos="1380"/>
        </w:tabs>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eastAsia="zh-CN"/>
        </w:rPr>
        <w:t>各成交对的成交价格=卖方申报价格+（买方申报价格-卖方申报价格）*K</w:t>
      </w:r>
      <w:r>
        <w:rPr>
          <w:rFonts w:hint="eastAsia" w:ascii="仿宋_GB2312" w:hAnsi="仿宋_GB2312" w:eastAsia="仿宋_GB2312" w:cs="仿宋_GB2312"/>
          <w:color w:val="auto"/>
          <w:w w:val="100"/>
          <w:highlight w:val="none"/>
          <w:vertAlign w:val="subscript"/>
          <w:lang w:eastAsia="zh-CN"/>
        </w:rPr>
        <w:t>竞价系数</w:t>
      </w:r>
      <w:r>
        <w:rPr>
          <w:rFonts w:hint="eastAsia" w:ascii="仿宋_GB2312" w:hAnsi="仿宋_GB2312" w:eastAsia="仿宋_GB2312" w:cs="仿宋_GB2312"/>
          <w:color w:val="auto"/>
          <w:w w:val="100"/>
          <w:highlight w:val="none"/>
          <w:lang w:eastAsia="zh-CN"/>
        </w:rPr>
        <w:t>，其中K</w:t>
      </w:r>
      <w:r>
        <w:rPr>
          <w:rFonts w:hint="eastAsia" w:ascii="仿宋_GB2312" w:hAnsi="仿宋_GB2312" w:eastAsia="仿宋_GB2312" w:cs="仿宋_GB2312"/>
          <w:color w:val="auto"/>
          <w:w w:val="100"/>
          <w:highlight w:val="none"/>
          <w:vertAlign w:val="subscript"/>
          <w:lang w:eastAsia="zh-CN"/>
        </w:rPr>
        <w:t>竞价系数</w:t>
      </w:r>
      <w:r>
        <w:rPr>
          <w:rFonts w:hint="eastAsia" w:ascii="仿宋_GB2312" w:hAnsi="仿宋_GB2312" w:eastAsia="仿宋_GB2312" w:cs="仿宋_GB2312"/>
          <w:color w:val="auto"/>
          <w:w w:val="100"/>
          <w:highlight w:val="none"/>
          <w:lang w:eastAsia="zh-CN"/>
        </w:rPr>
        <w:t>取值</w:t>
      </w:r>
      <w:r>
        <w:rPr>
          <w:rFonts w:hint="eastAsia" w:ascii="仿宋_GB2312" w:hAnsi="仿宋_GB2312" w:eastAsia="仿宋_GB2312" w:cs="仿宋_GB2312"/>
          <w:color w:val="auto"/>
          <w:w w:val="100"/>
          <w:highlight w:val="none"/>
          <w:lang w:val="en-US" w:eastAsia="zh-CN"/>
        </w:rPr>
        <w:t>暂定为0</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w w:val="100"/>
          <w:highlight w:val="none"/>
          <w:lang w:val="en-US" w:eastAsia="zh-CN"/>
        </w:rPr>
        <w:t xml:space="preserve">   </w:t>
      </w:r>
    </w:p>
    <w:p>
      <w:pPr>
        <w:pStyle w:val="7"/>
        <w:keepNext w:val="0"/>
        <w:keepLines w:val="0"/>
        <w:pageBreakBefore w:val="0"/>
        <w:widowControl w:val="0"/>
        <w:tabs>
          <w:tab w:val="left" w:pos="1380"/>
        </w:tabs>
        <w:kinsoku/>
        <w:wordWrap/>
        <w:overflowPunct/>
        <w:topLinePunct w:val="0"/>
        <w:autoSpaceDE/>
        <w:autoSpaceDN/>
        <w:bidi w:val="0"/>
        <w:adjustRightInd/>
        <w:snapToGrid/>
        <w:spacing w:line="560" w:lineRule="exact"/>
        <w:ind w:left="0" w:right="0" w:firstLine="644" w:firstLineChars="200"/>
        <w:jc w:val="both"/>
        <w:textAlignment w:val="auto"/>
        <w:outlineLvl w:val="3"/>
        <w:rPr>
          <w:rFonts w:ascii="仿宋_GB2312" w:hAnsi="仿宋_GB2312" w:eastAsia="仿宋_GB2312" w:cs="仿宋_GB2312"/>
          <w:color w:val="auto"/>
          <w:spacing w:val="1"/>
          <w:w w:val="100"/>
          <w:highlight w:val="none"/>
          <w:lang w:eastAsia="zh-CN"/>
        </w:rPr>
      </w:pPr>
      <w:r>
        <w:rPr>
          <w:rFonts w:hint="eastAsia" w:ascii="仿宋_GB2312" w:hAnsi="仿宋_GB2312" w:eastAsia="仿宋_GB2312" w:cs="仿宋_GB2312"/>
          <w:color w:val="auto"/>
          <w:spacing w:val="1"/>
          <w:w w:val="100"/>
          <w:highlight w:val="none"/>
          <w:lang w:eastAsia="zh-CN"/>
        </w:rPr>
        <w:t>4</w:t>
      </w:r>
      <w:r>
        <w:rPr>
          <w:rFonts w:hint="eastAsia" w:ascii="仿宋_GB2312" w:hAnsi="仿宋_GB2312" w:eastAsia="仿宋_GB2312" w:cs="仿宋_GB2312"/>
          <w:color w:val="auto"/>
          <w:spacing w:val="-1"/>
          <w:w w:val="100"/>
          <w:highlight w:val="none"/>
          <w:lang w:eastAsia="zh-CN"/>
        </w:rPr>
        <w:t>.2.</w:t>
      </w:r>
      <w:r>
        <w:rPr>
          <w:rFonts w:hint="eastAsia" w:ascii="仿宋_GB2312" w:hAnsi="仿宋_GB2312" w:eastAsia="仿宋_GB2312" w:cs="仿宋_GB2312"/>
          <w:color w:val="auto"/>
          <w:w w:val="100"/>
          <w:highlight w:val="none"/>
          <w:lang w:eastAsia="zh-CN"/>
        </w:rPr>
        <w:t>2.2滚动撮合</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交易系统按不同标的进行即时自动匹配撮合，对于提交的买方申报，将未成交的卖方申报按价格由低到高排序，依次与之配对形成交易对。对于提交的卖方申报，将未成交的买方申报按价格由高到低排序，依次与之配对形成交易对。</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交易对价差=买方申报价格–卖方申报价格</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当交易对价差为负值时不能成交，交易对价差为正值或零时成交，价差大的交易对优先成交；交易对价差相同时，申报时间较早的优先成交，申报时间以系统记录时间为准。当交易对价差、申报时间均相同时，根据经营主体申报电量等比例出清。</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滚动撮合阶段可成交交易对的成交价格计算方法如下：</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（1）前一笔交易成交价格大于等于买方申报价格时，成交价格为买方申报价格；</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（2）前一笔交易成交价格小于等于卖方申报价格时，成交价格为卖方申报价格；</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（3）前一笔交易成交价格小于买方申报价格且大于卖方申报价格时，成交价格为前一笔交易成交价格；</w:t>
      </w:r>
    </w:p>
    <w:p>
      <w:pPr>
        <w:pStyle w:val="7"/>
        <w:keepNext w:val="0"/>
        <w:keepLines w:val="0"/>
        <w:pageBreakBefore w:val="0"/>
        <w:widowControl w:val="0"/>
        <w:tabs>
          <w:tab w:val="left" w:pos="1380"/>
        </w:tabs>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4）集中竞价成交价格作为滚动撮合阶段第一笔交易成交价格。当集中竞价阶段未形成成交价格时，滚动撮合阶段首个可成交交易对的买方申报价格和卖方申报价格的算术平均值作为滚动撮合阶段第一笔交易成交价格。</w:t>
      </w:r>
    </w:p>
    <w:p>
      <w:pPr>
        <w:pStyle w:val="7"/>
        <w:keepNext w:val="0"/>
        <w:keepLines w:val="0"/>
        <w:pageBreakBefore w:val="0"/>
        <w:widowControl w:val="0"/>
        <w:tabs>
          <w:tab w:val="left" w:pos="1380"/>
        </w:tabs>
        <w:kinsoku/>
        <w:wordWrap/>
        <w:overflowPunct/>
        <w:topLinePunct w:val="0"/>
        <w:autoSpaceDE/>
        <w:autoSpaceDN/>
        <w:bidi w:val="0"/>
        <w:adjustRightInd/>
        <w:snapToGrid/>
        <w:spacing w:line="560" w:lineRule="exact"/>
        <w:ind w:left="0" w:right="0" w:firstLine="644" w:firstLineChars="200"/>
        <w:jc w:val="both"/>
        <w:textAlignment w:val="auto"/>
        <w:outlineLvl w:val="3"/>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spacing w:val="1"/>
          <w:w w:val="100"/>
          <w:highlight w:val="none"/>
          <w:lang w:eastAsia="zh-CN"/>
        </w:rPr>
        <w:t>4</w:t>
      </w:r>
      <w:r>
        <w:rPr>
          <w:rFonts w:hint="eastAsia" w:ascii="仿宋_GB2312" w:hAnsi="仿宋_GB2312" w:eastAsia="仿宋_GB2312" w:cs="仿宋_GB2312"/>
          <w:color w:val="auto"/>
          <w:spacing w:val="-1"/>
          <w:w w:val="100"/>
          <w:highlight w:val="none"/>
          <w:lang w:eastAsia="zh-CN"/>
        </w:rPr>
        <w:t>.2.2.</w:t>
      </w:r>
      <w:r>
        <w:rPr>
          <w:rFonts w:hint="eastAsia" w:ascii="仿宋_GB2312" w:hAnsi="仿宋_GB2312" w:eastAsia="仿宋_GB2312" w:cs="仿宋_GB2312"/>
          <w:color w:val="auto"/>
          <w:w w:val="100"/>
          <w:highlight w:val="none"/>
          <w:lang w:eastAsia="zh-CN"/>
        </w:rPr>
        <w:t>3</w:t>
      </w:r>
      <w:r>
        <w:rPr>
          <w:rFonts w:hint="eastAsia" w:ascii="仿宋_GB2312" w:hAnsi="仿宋_GB2312" w:eastAsia="仿宋_GB2312" w:cs="仿宋_GB2312"/>
          <w:color w:val="auto"/>
          <w:spacing w:val="2"/>
          <w:w w:val="100"/>
          <w:highlight w:val="none"/>
          <w:lang w:eastAsia="zh-CN"/>
        </w:rPr>
        <w:t>挂</w:t>
      </w:r>
      <w:r>
        <w:rPr>
          <w:rFonts w:hint="eastAsia" w:ascii="仿宋_GB2312" w:hAnsi="仿宋_GB2312" w:eastAsia="仿宋_GB2312" w:cs="仿宋_GB2312"/>
          <w:color w:val="auto"/>
          <w:w w:val="100"/>
          <w:highlight w:val="none"/>
          <w:lang w:eastAsia="zh-CN"/>
        </w:rPr>
        <w:t>牌交易</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挂牌方将需求电量或者可提供电量的数量和价格等信息对外发布要约，若摘牌成功，挂牌方发布要约的价格即为该笔成交对的成交价格。其中电网代理购电</w:t>
      </w:r>
      <w:r>
        <w:rPr>
          <w:rFonts w:hint="eastAsia" w:ascii="仿宋_GB2312" w:hAnsi="仿宋_GB2312" w:eastAsia="仿宋_GB2312" w:cs="仿宋_GB2312"/>
          <w:color w:val="auto"/>
          <w:w w:val="100"/>
          <w:highlight w:val="none"/>
          <w:lang w:val="en-US" w:eastAsia="zh-CN"/>
        </w:rPr>
        <w:t>挂牌</w:t>
      </w:r>
      <w:r>
        <w:rPr>
          <w:rFonts w:hint="eastAsia" w:ascii="仿宋_GB2312" w:hAnsi="仿宋_GB2312" w:eastAsia="仿宋_GB2312" w:cs="仿宋_GB2312"/>
          <w:color w:val="auto"/>
          <w:w w:val="100"/>
          <w:highlight w:val="none"/>
          <w:lang w:eastAsia="zh-CN"/>
        </w:rPr>
        <w:t>交易以报量不报价方式、作为价格接受者参与市场出清。</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4.3 执行峰谷电价的用户，在参加市场化交易后应当继续执行峰谷电价。</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4.4 电网企业代理购电用户电价按海南省电网企业代理购电实施方案有关规定执行。</w:t>
      </w:r>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18" w:name="_Toc27377"/>
      <w:r>
        <w:rPr>
          <w:rFonts w:hint="eastAsia" w:ascii="黑体" w:hAnsi="黑体" w:eastAsia="黑体" w:cs="黑体"/>
          <w:b w:val="0"/>
          <w:bCs w:val="0"/>
          <w:color w:val="auto"/>
          <w:w w:val="100"/>
          <w:highlight w:val="none"/>
          <w:lang w:eastAsia="zh-CN"/>
        </w:rPr>
        <w:t>5.</w:t>
      </w:r>
      <w:r>
        <w:rPr>
          <w:rFonts w:hint="eastAsia" w:ascii="黑体" w:hAnsi="黑体" w:eastAsia="黑体" w:cs="黑体"/>
          <w:b w:val="0"/>
          <w:bCs w:val="0"/>
          <w:color w:val="auto"/>
          <w:spacing w:val="1"/>
          <w:w w:val="100"/>
          <w:highlight w:val="none"/>
          <w:lang w:eastAsia="zh-CN"/>
        </w:rPr>
        <w:t>交</w:t>
      </w:r>
      <w:r>
        <w:rPr>
          <w:rFonts w:hint="eastAsia" w:ascii="黑体" w:hAnsi="黑体" w:eastAsia="黑体" w:cs="黑体"/>
          <w:b w:val="0"/>
          <w:bCs w:val="0"/>
          <w:color w:val="auto"/>
          <w:w w:val="100"/>
          <w:highlight w:val="none"/>
          <w:lang w:eastAsia="zh-CN"/>
        </w:rPr>
        <w:t>易</w:t>
      </w:r>
      <w:r>
        <w:rPr>
          <w:rFonts w:hint="eastAsia" w:ascii="黑体" w:hAnsi="黑体" w:eastAsia="黑体" w:cs="黑体"/>
          <w:b w:val="0"/>
          <w:bCs w:val="0"/>
          <w:color w:val="auto"/>
          <w:spacing w:val="1"/>
          <w:w w:val="100"/>
          <w:highlight w:val="none"/>
          <w:lang w:eastAsia="zh-CN"/>
        </w:rPr>
        <w:t>组织</w:t>
      </w:r>
      <w:bookmarkEnd w:id="18"/>
    </w:p>
    <w:p>
      <w:pPr>
        <w:pStyle w:val="7"/>
        <w:pageBreakBefore w:val="0"/>
        <w:kinsoku/>
        <w:wordWrap/>
        <w:overflowPunct/>
        <w:topLinePunct w:val="0"/>
        <w:autoSpaceDE/>
        <w:autoSpaceDN/>
        <w:bidi w:val="0"/>
        <w:adjustRightInd/>
        <w:spacing w:line="560" w:lineRule="exact"/>
        <w:ind w:left="0" w:right="0" w:firstLine="643" w:firstLineChars="200"/>
        <w:jc w:val="both"/>
        <w:textAlignment w:val="auto"/>
        <w:outlineLvl w:val="1"/>
        <w:rPr>
          <w:rFonts w:ascii="仿宋_GB2312" w:hAnsi="仿宋_GB2312" w:eastAsia="仿宋_GB2312" w:cs="仿宋_GB2312"/>
          <w:b/>
          <w:bCs/>
          <w:color w:val="auto"/>
          <w:w w:val="100"/>
          <w:highlight w:val="none"/>
          <w:lang w:eastAsia="zh-CN"/>
        </w:rPr>
      </w:pPr>
      <w:r>
        <w:rPr>
          <w:rFonts w:hint="eastAsia" w:ascii="仿宋_GB2312" w:hAnsi="仿宋_GB2312" w:eastAsia="仿宋_GB2312" w:cs="仿宋_GB2312"/>
          <w:b/>
          <w:bCs/>
          <w:color w:val="auto"/>
          <w:w w:val="100"/>
          <w:highlight w:val="none"/>
          <w:lang w:eastAsia="zh-CN"/>
        </w:rPr>
        <w:t>5.1 交易组织原则</w:t>
      </w:r>
    </w:p>
    <w:p>
      <w:pPr>
        <w:pStyle w:val="7"/>
        <w:pageBreakBefore w:val="0"/>
        <w:kinsoku/>
        <w:wordWrap/>
        <w:overflowPunct/>
        <w:topLinePunct w:val="0"/>
        <w:autoSpaceDE/>
        <w:autoSpaceDN/>
        <w:bidi w:val="0"/>
        <w:adjustRightInd/>
        <w:spacing w:line="560" w:lineRule="exact"/>
        <w:ind w:left="0" w:right="0" w:firstLine="644"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spacing w:val="1"/>
          <w:w w:val="100"/>
          <w:highlight w:val="none"/>
          <w:lang w:eastAsia="zh-CN"/>
        </w:rPr>
        <w:t xml:space="preserve">5.1.1 </w:t>
      </w:r>
      <w:r>
        <w:rPr>
          <w:rFonts w:hint="eastAsia" w:ascii="仿宋_GB2312" w:hAnsi="仿宋_GB2312" w:eastAsia="仿宋_GB2312" w:cs="仿宋_GB2312"/>
          <w:color w:val="auto"/>
          <w:w w:val="100"/>
          <w:highlight w:val="none"/>
          <w:lang w:eastAsia="zh-CN"/>
        </w:rPr>
        <w:t>电能量交易通过交易系统开展，交易申报信息（主体信息、电量、价格、申报时间等）以交易系统接收到的申报信息为准。</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5.1.2 同一经营主体可根据生产消费需要，选择买入或卖出电能量。</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5.1.</w:t>
      </w:r>
      <w:r>
        <w:rPr>
          <w:rFonts w:hint="eastAsia" w:ascii="仿宋_GB2312" w:hAnsi="仿宋_GB2312" w:eastAsia="仿宋_GB2312" w:cs="仿宋_GB2312"/>
          <w:color w:val="auto"/>
          <w:w w:val="100"/>
          <w:highlight w:val="none"/>
          <w:lang w:val="en-US" w:eastAsia="zh-CN"/>
        </w:rPr>
        <w:t>3</w:t>
      </w:r>
      <w:r>
        <w:rPr>
          <w:rFonts w:hint="eastAsia" w:ascii="仿宋_GB2312" w:hAnsi="仿宋_GB2312" w:eastAsia="仿宋_GB2312" w:cs="仿宋_GB2312"/>
          <w:color w:val="auto"/>
          <w:w w:val="100"/>
          <w:highlight w:val="none"/>
          <w:lang w:eastAsia="zh-CN"/>
        </w:rPr>
        <w:t xml:space="preserve"> 中长期电能量交易均需约定电力曲线。</w:t>
      </w:r>
      <w:r>
        <w:rPr>
          <w:rFonts w:hint="eastAsia" w:ascii="仿宋_GB2312" w:hAnsi="仿宋_GB2312" w:eastAsia="仿宋_GB2312" w:cs="仿宋_GB2312"/>
          <w:color w:val="auto"/>
          <w:w w:val="100"/>
          <w:highlight w:val="none"/>
          <w:lang w:val="en-US" w:eastAsia="zh-CN"/>
        </w:rPr>
        <w:t>买卖双方</w:t>
      </w:r>
      <w:r>
        <w:rPr>
          <w:rFonts w:hint="eastAsia" w:ascii="仿宋_GB2312" w:hAnsi="仿宋_GB2312" w:eastAsia="仿宋_GB2312" w:cs="仿宋_GB2312"/>
          <w:color w:val="auto"/>
          <w:w w:val="100"/>
          <w:highlight w:val="none"/>
          <w:lang w:eastAsia="zh-CN"/>
        </w:rPr>
        <w:t>也可参照用电侧历史用电曲线、用电需求等，自行协商确定电力曲线。海南电力交易中心可提供典型曲线作为参考。</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5.1.</w:t>
      </w:r>
      <w:r>
        <w:rPr>
          <w:rFonts w:hint="eastAsia" w:ascii="仿宋_GB2312" w:hAnsi="仿宋_GB2312" w:eastAsia="仿宋_GB2312" w:cs="仿宋_GB2312"/>
          <w:color w:val="auto"/>
          <w:w w:val="100"/>
          <w:highlight w:val="none"/>
          <w:lang w:val="en-US" w:eastAsia="zh-CN"/>
        </w:rPr>
        <w:t>4</w:t>
      </w:r>
      <w:r>
        <w:rPr>
          <w:rFonts w:hint="eastAsia" w:ascii="仿宋_GB2312" w:hAnsi="仿宋_GB2312" w:eastAsia="仿宋_GB2312" w:cs="仿宋_GB2312"/>
          <w:color w:val="auto"/>
          <w:w w:val="100"/>
          <w:highlight w:val="none"/>
          <w:lang w:eastAsia="zh-CN"/>
        </w:rPr>
        <w:t xml:space="preserve"> 交易的限定条件必须在交易公告中明确，原则上在申报组织以及出清过程中不得临时增加限定条件，确有必要的应当公开说明原因。</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5.1.</w:t>
      </w:r>
      <w:r>
        <w:rPr>
          <w:rFonts w:hint="eastAsia" w:ascii="仿宋_GB2312" w:hAnsi="仿宋_GB2312" w:eastAsia="仿宋_GB2312" w:cs="仿宋_GB2312"/>
          <w:color w:val="auto"/>
          <w:w w:val="100"/>
          <w:highlight w:val="none"/>
          <w:lang w:val="en-US" w:eastAsia="zh-CN"/>
        </w:rPr>
        <w:t>5</w:t>
      </w:r>
      <w:r>
        <w:rPr>
          <w:rFonts w:hint="eastAsia" w:ascii="仿宋_GB2312" w:hAnsi="仿宋_GB2312" w:eastAsia="仿宋_GB2312" w:cs="仿宋_GB2312"/>
          <w:color w:val="auto"/>
          <w:w w:val="100"/>
          <w:highlight w:val="none"/>
          <w:lang w:eastAsia="zh-CN"/>
        </w:rPr>
        <w:t xml:space="preserve"> 中长期电能量交易的基本流程包括交易准备、交易公告、交易申报、交易出清、交易校核、发布结果等环节。</w:t>
      </w:r>
    </w:p>
    <w:p>
      <w:pPr>
        <w:pStyle w:val="7"/>
        <w:pageBreakBefore w:val="0"/>
        <w:kinsoku/>
        <w:wordWrap/>
        <w:overflowPunct/>
        <w:topLinePunct w:val="0"/>
        <w:autoSpaceDE/>
        <w:autoSpaceDN/>
        <w:bidi w:val="0"/>
        <w:adjustRightInd/>
        <w:spacing w:line="560" w:lineRule="exact"/>
        <w:ind w:left="0" w:right="0" w:firstLine="647" w:firstLineChars="200"/>
        <w:jc w:val="both"/>
        <w:textAlignment w:val="auto"/>
        <w:outlineLvl w:val="1"/>
        <w:rPr>
          <w:rFonts w:ascii="仿宋_GB2312" w:hAnsi="仿宋_GB2312" w:eastAsia="仿宋_GB2312" w:cs="仿宋_GB2312"/>
          <w:b/>
          <w:bCs/>
          <w:color w:val="auto"/>
          <w:w w:val="100"/>
          <w:highlight w:val="none"/>
          <w:lang w:eastAsia="zh-CN"/>
        </w:rPr>
      </w:pPr>
      <w:r>
        <w:rPr>
          <w:rFonts w:hint="eastAsia" w:ascii="仿宋_GB2312" w:hAnsi="仿宋_GB2312" w:eastAsia="仿宋_GB2312" w:cs="仿宋_GB2312"/>
          <w:b/>
          <w:bCs/>
          <w:color w:val="auto"/>
          <w:spacing w:val="1"/>
          <w:w w:val="100"/>
          <w:highlight w:val="none"/>
          <w:lang w:eastAsia="zh-CN"/>
        </w:rPr>
        <w:t>5.2</w:t>
      </w:r>
      <w:r>
        <w:rPr>
          <w:rFonts w:hint="eastAsia" w:ascii="仿宋_GB2312" w:hAnsi="仿宋_GB2312" w:eastAsia="仿宋_GB2312" w:cs="仿宋_GB2312"/>
          <w:b/>
          <w:bCs/>
          <w:color w:val="auto"/>
          <w:w w:val="100"/>
          <w:highlight w:val="none"/>
          <w:lang w:eastAsia="zh-CN"/>
        </w:rPr>
        <w:t>交易约束条件</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2"/>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5.2.1合同电量净值</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eastAsia="zh-CN"/>
        </w:rPr>
        <w:t>5.2.1.1合同电量净值是指经营主体在中长期电能量交易中多次买入、卖出互相抵消后的合同电量代数和，合同电量净值应大于等于零。</w:t>
      </w:r>
      <w:r>
        <w:rPr>
          <w:rFonts w:hint="eastAsia" w:ascii="仿宋_GB2312" w:hAnsi="仿宋_GB2312" w:eastAsia="仿宋_GB2312" w:cs="仿宋_GB2312"/>
          <w:color w:val="auto"/>
          <w:w w:val="100"/>
          <w:highlight w:val="none"/>
          <w:lang w:val="en-US" w:eastAsia="zh-CN"/>
        </w:rPr>
        <w:t>根据交易标的不同，可分为省内中长期直接交易合约电量净值和代理购电合约净值。</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5.2.1.2为降低市场操纵风险，保障电力中长期合同有效履约，设置经营主体合同电量净值上下限约束。</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（1）发电侧交易单元合同电量净值上</w:t>
      </w:r>
      <w:r>
        <w:rPr>
          <w:rFonts w:hint="eastAsia" w:ascii="仿宋_GB2312" w:hAnsi="仿宋_GB2312" w:eastAsia="仿宋_GB2312" w:cs="仿宋_GB2312"/>
          <w:color w:val="auto"/>
          <w:w w:val="100"/>
          <w:highlight w:val="none"/>
          <w:lang w:val="en-US" w:eastAsia="zh-CN"/>
        </w:rPr>
        <w:t>下</w:t>
      </w:r>
      <w:r>
        <w:rPr>
          <w:rFonts w:hint="eastAsia" w:ascii="仿宋_GB2312" w:hAnsi="仿宋_GB2312" w:eastAsia="仿宋_GB2312" w:cs="仿宋_GB2312"/>
          <w:color w:val="auto"/>
          <w:w w:val="100"/>
          <w:highlight w:val="none"/>
          <w:lang w:eastAsia="zh-CN"/>
        </w:rPr>
        <w:t>限</w:t>
      </w:r>
      <w:r>
        <w:rPr>
          <w:rFonts w:hint="eastAsia" w:ascii="仿宋_GB2312" w:hAnsi="仿宋_GB2312" w:eastAsia="仿宋_GB2312" w:cs="仿宋_GB2312"/>
          <w:color w:val="auto"/>
          <w:w w:val="100"/>
          <w:highlight w:val="none"/>
          <w:lang w:val="en-US" w:eastAsia="zh-CN"/>
        </w:rPr>
        <w:t>分别</w:t>
      </w:r>
      <w:r>
        <w:rPr>
          <w:rFonts w:hint="eastAsia" w:ascii="仿宋_GB2312" w:hAnsi="仿宋_GB2312" w:eastAsia="仿宋_GB2312" w:cs="仿宋_GB2312"/>
          <w:color w:val="auto"/>
          <w:w w:val="100"/>
          <w:highlight w:val="none"/>
          <w:lang w:eastAsia="zh-CN"/>
        </w:rPr>
        <w:t>为调度机构发布的发电机组最大发电能力</w:t>
      </w:r>
      <w:r>
        <w:rPr>
          <w:rFonts w:hint="eastAsia" w:ascii="仿宋_GB2312" w:hAnsi="仿宋_GB2312" w:eastAsia="仿宋_GB2312" w:cs="仿宋_GB2312"/>
          <w:color w:val="auto"/>
          <w:w w:val="100"/>
          <w:highlight w:val="none"/>
          <w:lang w:val="en-US" w:eastAsia="zh-CN"/>
        </w:rPr>
        <w:t>和最小发电能力</w:t>
      </w:r>
      <w:r>
        <w:rPr>
          <w:rStyle w:val="16"/>
          <w:rFonts w:hint="eastAsia" w:ascii="仿宋_GB2312" w:hAnsi="仿宋_GB2312" w:eastAsia="仿宋_GB2312" w:cs="仿宋_GB2312"/>
          <w:color w:val="auto"/>
          <w:w w:val="100"/>
          <w:highlight w:val="none"/>
          <w:lang w:val="en-US" w:eastAsia="zh-CN"/>
        </w:rPr>
        <w:footnoteReference w:id="0"/>
      </w:r>
      <w:r>
        <w:rPr>
          <w:rFonts w:hint="eastAsia" w:ascii="仿宋_GB2312" w:hAnsi="仿宋_GB2312" w:eastAsia="仿宋_GB2312" w:cs="仿宋_GB2312"/>
          <w:color w:val="auto"/>
          <w:w w:val="100"/>
          <w:highlight w:val="none"/>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default"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eastAsia="zh-CN"/>
        </w:rPr>
        <w:t>（2）售电公司交易单元合同电量净值上限</w:t>
      </w:r>
      <w:r>
        <w:rPr>
          <w:rFonts w:hint="eastAsia" w:ascii="仿宋_GB2312" w:hAnsi="仿宋_GB2312" w:eastAsia="仿宋_GB2312" w:cs="仿宋_GB2312"/>
          <w:color w:val="auto"/>
          <w:w w:val="100"/>
          <w:highlight w:val="none"/>
          <w:lang w:val="en-US" w:eastAsia="zh-CN"/>
        </w:rPr>
        <w:t>原则上由</w:t>
      </w:r>
      <w:r>
        <w:rPr>
          <w:rFonts w:hint="eastAsia" w:ascii="仿宋_GB2312" w:hAnsi="仿宋_GB2312" w:eastAsia="仿宋_GB2312" w:cs="仿宋_GB2312"/>
          <w:color w:val="auto"/>
          <w:highlight w:val="none"/>
          <w:lang w:eastAsia="zh-CN"/>
        </w:rPr>
        <w:t>由售电公司资产总额、</w:t>
      </w:r>
      <w:r>
        <w:rPr>
          <w:rFonts w:hint="eastAsia" w:ascii="仿宋_GB2312" w:hAnsi="仿宋_GB2312" w:eastAsia="仿宋_GB2312" w:cs="仿宋_GB2312"/>
          <w:color w:val="auto"/>
          <w:w w:val="100"/>
          <w:highlight w:val="none"/>
          <w:lang w:eastAsia="zh-CN"/>
        </w:rPr>
        <w:t>履约</w:t>
      </w:r>
      <w:r>
        <w:rPr>
          <w:rFonts w:hint="eastAsia" w:ascii="仿宋_GB2312" w:hAnsi="仿宋_GB2312" w:eastAsia="仿宋_GB2312" w:cs="仿宋_GB2312"/>
          <w:color w:val="auto"/>
          <w:highlight w:val="none"/>
          <w:lang w:eastAsia="zh-CN"/>
        </w:rPr>
        <w:t>担保</w:t>
      </w:r>
      <w:r>
        <w:rPr>
          <w:rFonts w:hint="eastAsia" w:ascii="仿宋_GB2312" w:hAnsi="仿宋_GB2312" w:eastAsia="仿宋_GB2312" w:cs="仿宋_GB2312"/>
          <w:color w:val="auto"/>
          <w:w w:val="100"/>
          <w:highlight w:val="none"/>
          <w:lang w:eastAsia="zh-CN"/>
        </w:rPr>
        <w:t>对应可交易电量</w:t>
      </w:r>
      <w:r>
        <w:rPr>
          <w:rFonts w:hint="eastAsia" w:ascii="仿宋_GB2312" w:hAnsi="仿宋_GB2312" w:eastAsia="仿宋_GB2312" w:cs="仿宋_GB2312"/>
          <w:color w:val="auto"/>
          <w:highlight w:val="none"/>
          <w:lang w:eastAsia="zh-CN"/>
        </w:rPr>
        <w:t>规模以及其</w:t>
      </w:r>
      <w:r>
        <w:rPr>
          <w:rFonts w:hint="eastAsia" w:ascii="仿宋_GB2312" w:hAnsi="仿宋_GB2312" w:eastAsia="仿宋_GB2312" w:cs="仿宋_GB2312"/>
          <w:color w:val="auto"/>
          <w:w w:val="100"/>
          <w:highlight w:val="none"/>
          <w:lang w:eastAsia="zh-CN"/>
        </w:rPr>
        <w:t>代理的零售用户</w:t>
      </w:r>
      <w:r>
        <w:rPr>
          <w:rFonts w:hint="eastAsia" w:ascii="仿宋_GB2312" w:hAnsi="仿宋_GB2312" w:eastAsia="仿宋_GB2312" w:cs="仿宋_GB2312"/>
          <w:color w:val="auto"/>
          <w:highlight w:val="none"/>
          <w:lang w:eastAsia="zh-CN"/>
        </w:rPr>
        <w:t>近12个月历史</w:t>
      </w:r>
      <w:r>
        <w:rPr>
          <w:rFonts w:hint="eastAsia" w:ascii="仿宋_GB2312" w:hAnsi="仿宋_GB2312" w:eastAsia="仿宋_GB2312" w:cs="仿宋_GB2312"/>
          <w:color w:val="auto"/>
          <w:w w:val="100"/>
          <w:highlight w:val="none"/>
          <w:lang w:eastAsia="zh-CN"/>
        </w:rPr>
        <w:t>实际用电量</w:t>
      </w:r>
      <w:r>
        <w:rPr>
          <w:rFonts w:hint="eastAsia" w:ascii="仿宋_GB2312" w:hAnsi="仿宋_GB2312" w:eastAsia="仿宋_GB2312" w:cs="仿宋_GB2312"/>
          <w:color w:val="auto"/>
          <w:highlight w:val="none"/>
          <w:lang w:eastAsia="zh-CN"/>
        </w:rPr>
        <w:t>之和</w:t>
      </w:r>
      <w:r>
        <w:rPr>
          <w:rFonts w:hint="eastAsia" w:ascii="仿宋_GB2312" w:hAnsi="仿宋_GB2312" w:eastAsia="仿宋_GB2312" w:cs="仿宋_GB2312"/>
          <w:color w:val="auto"/>
          <w:w w:val="100"/>
          <w:highlight w:val="none"/>
          <w:lang w:eastAsia="zh-CN"/>
        </w:rPr>
        <w:t>乘以</w:t>
      </w:r>
      <w:r>
        <w:rPr>
          <w:rFonts w:hint="eastAsia" w:ascii="仿宋_GB2312" w:hAnsi="仿宋_GB2312" w:eastAsia="仿宋_GB2312" w:cs="仿宋_GB2312"/>
          <w:color w:val="auto"/>
          <w:w w:val="100"/>
          <w:highlight w:val="none"/>
          <w:lang w:val="en-US" w:eastAsia="zh-CN"/>
        </w:rPr>
        <w:t>Y</w:t>
      </w:r>
      <w:r>
        <w:rPr>
          <w:rFonts w:hint="eastAsia" w:ascii="仿宋_GB2312" w:hAnsi="仿宋_GB2312" w:eastAsia="仿宋_GB2312" w:cs="仿宋_GB2312"/>
          <w:color w:val="auto"/>
          <w:w w:val="100"/>
          <w:highlight w:val="none"/>
          <w:vertAlign w:val="subscript"/>
          <w:lang w:val="en-US" w:eastAsia="zh-CN"/>
        </w:rPr>
        <w:t>调节</w:t>
      </w:r>
      <w:r>
        <w:rPr>
          <w:rFonts w:hint="eastAsia" w:ascii="仿宋_GB2312" w:hAnsi="仿宋_GB2312" w:eastAsia="仿宋_GB2312" w:cs="仿宋_GB2312"/>
          <w:color w:val="auto"/>
          <w:w w:val="100"/>
          <w:highlight w:val="none"/>
          <w:vertAlign w:val="subscript"/>
          <w:lang w:eastAsia="zh-CN"/>
        </w:rPr>
        <w:t>系数</w:t>
      </w:r>
      <w:r>
        <w:rPr>
          <w:rFonts w:hint="eastAsia" w:ascii="仿宋_GB2312" w:hAnsi="仿宋_GB2312" w:eastAsia="仿宋_GB2312" w:cs="仿宋_GB2312"/>
          <w:color w:val="auto"/>
          <w:highlight w:val="none"/>
          <w:lang w:eastAsia="zh-CN"/>
        </w:rPr>
        <w:t>的三者取最小值</w:t>
      </w:r>
      <w:r>
        <w:rPr>
          <w:rFonts w:hint="eastAsia" w:ascii="仿宋_GB2312" w:hAnsi="仿宋_GB2312" w:eastAsia="仿宋_GB2312" w:cs="仿宋_GB2312"/>
          <w:color w:val="auto"/>
          <w:w w:val="100"/>
          <w:highlight w:val="none"/>
          <w:lang w:eastAsia="zh-CN"/>
        </w:rPr>
        <w:t>，下限为零。其中</w:t>
      </w:r>
      <w:r>
        <w:rPr>
          <w:rFonts w:hint="eastAsia" w:ascii="仿宋_GB2312" w:hAnsi="仿宋_GB2312" w:eastAsia="仿宋_GB2312" w:cs="仿宋_GB2312"/>
          <w:color w:val="auto"/>
          <w:w w:val="100"/>
          <w:highlight w:val="none"/>
          <w:lang w:val="en-US" w:eastAsia="zh-CN"/>
        </w:rPr>
        <w:t>Y</w:t>
      </w:r>
      <w:r>
        <w:rPr>
          <w:rFonts w:hint="eastAsia" w:ascii="仿宋_GB2312" w:hAnsi="仿宋_GB2312" w:eastAsia="仿宋_GB2312" w:cs="仿宋_GB2312"/>
          <w:color w:val="auto"/>
          <w:w w:val="100"/>
          <w:highlight w:val="none"/>
          <w:vertAlign w:val="subscript"/>
          <w:lang w:val="en-US" w:eastAsia="zh-CN"/>
        </w:rPr>
        <w:t>调节</w:t>
      </w:r>
      <w:r>
        <w:rPr>
          <w:rFonts w:hint="eastAsia" w:ascii="仿宋_GB2312" w:hAnsi="仿宋_GB2312" w:eastAsia="仿宋_GB2312" w:cs="仿宋_GB2312"/>
          <w:color w:val="auto"/>
          <w:w w:val="100"/>
          <w:highlight w:val="none"/>
          <w:vertAlign w:val="subscript"/>
          <w:lang w:eastAsia="zh-CN"/>
        </w:rPr>
        <w:t>系数</w:t>
      </w:r>
      <w:r>
        <w:rPr>
          <w:rFonts w:hint="eastAsia" w:ascii="仿宋_GB2312" w:hAnsi="仿宋_GB2312" w:eastAsia="仿宋_GB2312" w:cs="仿宋_GB2312"/>
          <w:color w:val="auto"/>
          <w:w w:val="100"/>
          <w:highlight w:val="none"/>
          <w:lang w:eastAsia="zh-CN"/>
        </w:rPr>
        <w:t>取值</w:t>
      </w:r>
      <w:r>
        <w:rPr>
          <w:rFonts w:hint="eastAsia" w:ascii="仿宋_GB2312" w:hAnsi="仿宋_GB2312" w:eastAsia="仿宋_GB2312" w:cs="仿宋_GB2312"/>
          <w:color w:val="auto"/>
          <w:w w:val="100"/>
          <w:highlight w:val="none"/>
          <w:lang w:val="en-US" w:eastAsia="zh-CN"/>
        </w:rPr>
        <w:t>暂定为1.3。</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（3）</w:t>
      </w:r>
      <w:r>
        <w:rPr>
          <w:rFonts w:hint="eastAsia" w:ascii="仿宋_GB2312" w:hAnsi="仿宋_GB2312" w:eastAsia="仿宋_GB2312" w:cs="仿宋_GB2312"/>
          <w:color w:val="auto"/>
          <w:w w:val="100"/>
          <w:highlight w:val="none"/>
          <w:lang w:val="en-US" w:eastAsia="zh-CN"/>
        </w:rPr>
        <w:t>电力</w:t>
      </w:r>
      <w:r>
        <w:rPr>
          <w:rFonts w:hint="eastAsia" w:ascii="仿宋_GB2312" w:hAnsi="仿宋_GB2312" w:eastAsia="仿宋_GB2312" w:cs="仿宋_GB2312"/>
          <w:color w:val="auto"/>
          <w:w w:val="100"/>
          <w:highlight w:val="none"/>
          <w:lang w:eastAsia="zh-CN"/>
        </w:rPr>
        <w:t>批发用户交易单元合同电量净值上限</w:t>
      </w:r>
      <w:r>
        <w:rPr>
          <w:rFonts w:hint="eastAsia" w:ascii="仿宋_GB2312" w:hAnsi="仿宋_GB2312" w:eastAsia="仿宋_GB2312" w:cs="仿宋_GB2312"/>
          <w:color w:val="auto"/>
          <w:w w:val="100"/>
          <w:highlight w:val="none"/>
          <w:lang w:val="en-US" w:eastAsia="zh-CN"/>
        </w:rPr>
        <w:t>为其</w:t>
      </w:r>
      <w:r>
        <w:rPr>
          <w:rFonts w:hint="eastAsia" w:ascii="仿宋_GB2312" w:hAnsi="仿宋_GB2312" w:eastAsia="仿宋_GB2312" w:cs="仿宋_GB2312"/>
          <w:color w:val="auto"/>
          <w:w w:val="100"/>
          <w:highlight w:val="none"/>
          <w:lang w:eastAsia="zh-CN"/>
        </w:rPr>
        <w:t>上一年度实际用电量乘以</w:t>
      </w:r>
      <w:r>
        <w:rPr>
          <w:rFonts w:hint="eastAsia" w:ascii="仿宋_GB2312" w:hAnsi="仿宋_GB2312" w:eastAsia="仿宋_GB2312" w:cs="仿宋_GB2312"/>
          <w:color w:val="auto"/>
          <w:w w:val="100"/>
          <w:highlight w:val="none"/>
          <w:lang w:val="en-US" w:eastAsia="zh-CN"/>
        </w:rPr>
        <w:t>Y</w:t>
      </w:r>
      <w:r>
        <w:rPr>
          <w:rFonts w:hint="eastAsia" w:ascii="仿宋_GB2312" w:hAnsi="仿宋_GB2312" w:eastAsia="仿宋_GB2312" w:cs="仿宋_GB2312"/>
          <w:color w:val="auto"/>
          <w:w w:val="100"/>
          <w:highlight w:val="none"/>
          <w:vertAlign w:val="subscript"/>
          <w:lang w:val="en-US" w:eastAsia="zh-CN"/>
        </w:rPr>
        <w:t>调节</w:t>
      </w:r>
      <w:r>
        <w:rPr>
          <w:rFonts w:hint="eastAsia" w:ascii="仿宋_GB2312" w:hAnsi="仿宋_GB2312" w:eastAsia="仿宋_GB2312" w:cs="仿宋_GB2312"/>
          <w:color w:val="auto"/>
          <w:w w:val="100"/>
          <w:highlight w:val="none"/>
          <w:vertAlign w:val="subscript"/>
          <w:lang w:eastAsia="zh-CN"/>
        </w:rPr>
        <w:t>系数</w:t>
      </w:r>
      <w:r>
        <w:rPr>
          <w:rFonts w:hint="eastAsia" w:ascii="仿宋_GB2312" w:hAnsi="仿宋_GB2312" w:eastAsia="仿宋_GB2312" w:cs="仿宋_GB2312"/>
          <w:color w:val="auto"/>
          <w:w w:val="100"/>
          <w:highlight w:val="none"/>
          <w:lang w:eastAsia="zh-CN"/>
        </w:rPr>
        <w:t>，下限为零。</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w w:val="100"/>
          <w:highlight w:val="none"/>
          <w:lang w:val="en-US" w:eastAsia="zh-CN"/>
        </w:rPr>
        <w:t>4</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w w:val="100"/>
          <w:highlight w:val="none"/>
          <w:lang w:val="en-US" w:eastAsia="zh-CN"/>
        </w:rPr>
        <w:t>电网企业</w:t>
      </w:r>
      <w:r>
        <w:rPr>
          <w:rFonts w:hint="eastAsia" w:ascii="仿宋_GB2312" w:hAnsi="仿宋_GB2312" w:eastAsia="仿宋_GB2312" w:cs="仿宋_GB2312"/>
          <w:color w:val="auto"/>
          <w:w w:val="100"/>
          <w:highlight w:val="none"/>
          <w:lang w:eastAsia="zh-CN"/>
        </w:rPr>
        <w:t>交易单元合同电量净值不设上限，下限为零。</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5.2.1.3视市场推进情况，应用分时段合同电量净值上下限约束。</w:t>
      </w:r>
      <w:r>
        <w:rPr>
          <w:rFonts w:hint="eastAsia" w:ascii="仿宋_GB2312" w:hAnsi="仿宋_GB2312" w:eastAsia="仿宋_GB2312" w:cs="仿宋_GB2312"/>
          <w:color w:val="auto"/>
          <w:w w:val="100"/>
          <w:highlight w:val="none"/>
          <w:lang w:val="en-US" w:eastAsia="zh-CN"/>
        </w:rPr>
        <w:t>原则上，</w:t>
      </w:r>
      <w:r>
        <w:rPr>
          <w:rFonts w:hint="eastAsia" w:ascii="仿宋_GB2312" w:hAnsi="仿宋_GB2312" w:eastAsia="仿宋_GB2312" w:cs="仿宋_GB2312"/>
          <w:color w:val="auto"/>
          <w:w w:val="100"/>
          <w:highlight w:val="none"/>
          <w:lang w:eastAsia="zh-CN"/>
        </w:rPr>
        <w:t>发电机组各时段合同电量净值上限为机组</w:t>
      </w:r>
      <w:r>
        <w:rPr>
          <w:rFonts w:hint="eastAsia" w:ascii="仿宋_GB2312" w:hAnsi="仿宋_GB2312" w:eastAsia="仿宋_GB2312" w:cs="仿宋_GB2312"/>
          <w:color w:val="auto"/>
          <w:w w:val="100"/>
          <w:highlight w:val="none"/>
          <w:lang w:val="en-US" w:eastAsia="zh-CN"/>
        </w:rPr>
        <w:t>在</w:t>
      </w:r>
      <w:r>
        <w:rPr>
          <w:rFonts w:hint="default" w:ascii="仿宋_GB2312" w:hAnsi="宋体" w:eastAsia="仿宋_GB2312" w:cs="仿宋_GB2312"/>
          <w:color w:val="auto"/>
          <w:kern w:val="0"/>
          <w:sz w:val="32"/>
          <w:szCs w:val="32"/>
          <w:highlight w:val="none"/>
          <w:lang w:val="en-US" w:eastAsia="zh-CN"/>
        </w:rPr>
        <w:t>交易系统注册装机容量</w:t>
      </w:r>
      <w:r>
        <w:rPr>
          <w:rFonts w:hint="eastAsia" w:ascii="仿宋_GB2312" w:hAnsi="仿宋_GB2312" w:eastAsia="仿宋_GB2312" w:cs="仿宋_GB2312"/>
          <w:color w:val="auto"/>
          <w:w w:val="100"/>
          <w:highlight w:val="none"/>
          <w:lang w:val="en-US" w:eastAsia="zh-CN"/>
        </w:rPr>
        <w:t>或</w:t>
      </w:r>
      <w:r>
        <w:rPr>
          <w:rFonts w:hint="eastAsia" w:ascii="仿宋_GB2312" w:hAnsi="仿宋_GB2312" w:eastAsia="仿宋_GB2312" w:cs="仿宋_GB2312"/>
          <w:color w:val="auto"/>
          <w:w w:val="100"/>
          <w:highlight w:val="none"/>
          <w:lang w:eastAsia="zh-CN"/>
        </w:rPr>
        <w:t>调度机构发布的发电机组</w:t>
      </w:r>
      <w:r>
        <w:rPr>
          <w:rFonts w:hint="eastAsia" w:ascii="仿宋_GB2312" w:hAnsi="仿宋_GB2312" w:eastAsia="仿宋_GB2312" w:cs="仿宋_GB2312"/>
          <w:color w:val="auto"/>
          <w:w w:val="100"/>
          <w:highlight w:val="none"/>
          <w:lang w:val="en-US" w:eastAsia="zh-CN"/>
        </w:rPr>
        <w:t>各时段</w:t>
      </w:r>
      <w:r>
        <w:rPr>
          <w:rFonts w:hint="eastAsia" w:ascii="仿宋_GB2312" w:hAnsi="仿宋_GB2312" w:eastAsia="仿宋_GB2312" w:cs="仿宋_GB2312"/>
          <w:color w:val="auto"/>
          <w:w w:val="100"/>
          <w:highlight w:val="none"/>
          <w:lang w:eastAsia="zh-CN"/>
        </w:rPr>
        <w:t>最大发电能力，</w:t>
      </w:r>
      <w:r>
        <w:rPr>
          <w:rFonts w:hint="eastAsia" w:ascii="仿宋_GB2312" w:hAnsi="仿宋_GB2312" w:eastAsia="仿宋_GB2312" w:cs="仿宋_GB2312"/>
          <w:color w:val="auto"/>
          <w:w w:val="100"/>
          <w:highlight w:val="none"/>
          <w:lang w:val="en-US" w:eastAsia="zh-CN"/>
        </w:rPr>
        <w:t>下限为</w:t>
      </w:r>
      <w:r>
        <w:rPr>
          <w:rFonts w:hint="eastAsia" w:ascii="仿宋_GB2312" w:hAnsi="仿宋_GB2312" w:eastAsia="仿宋_GB2312" w:cs="仿宋_GB2312"/>
          <w:color w:val="auto"/>
          <w:w w:val="100"/>
          <w:highlight w:val="none"/>
          <w:lang w:eastAsia="zh-CN"/>
        </w:rPr>
        <w:t>调度机构发布的发电机组各时段最</w:t>
      </w:r>
      <w:r>
        <w:rPr>
          <w:rFonts w:hint="eastAsia" w:ascii="仿宋_GB2312" w:hAnsi="仿宋_GB2312" w:eastAsia="仿宋_GB2312" w:cs="仿宋_GB2312"/>
          <w:color w:val="auto"/>
          <w:w w:val="100"/>
          <w:highlight w:val="none"/>
          <w:lang w:val="en-US" w:eastAsia="zh-CN"/>
        </w:rPr>
        <w:t>小</w:t>
      </w:r>
      <w:r>
        <w:rPr>
          <w:rFonts w:hint="eastAsia" w:ascii="仿宋_GB2312" w:hAnsi="仿宋_GB2312" w:eastAsia="仿宋_GB2312" w:cs="仿宋_GB2312"/>
          <w:color w:val="auto"/>
          <w:w w:val="100"/>
          <w:highlight w:val="none"/>
          <w:lang w:eastAsia="zh-CN"/>
        </w:rPr>
        <w:t>发电能力；售电公司</w:t>
      </w:r>
      <w:r>
        <w:rPr>
          <w:rFonts w:hint="eastAsia" w:ascii="仿宋_GB2312" w:hAnsi="仿宋_GB2312" w:eastAsia="仿宋_GB2312" w:cs="仿宋_GB2312"/>
          <w:color w:val="auto"/>
          <w:w w:val="100"/>
          <w:highlight w:val="none"/>
          <w:lang w:val="en-US" w:eastAsia="zh-CN"/>
        </w:rPr>
        <w:t>和电力</w:t>
      </w:r>
      <w:r>
        <w:rPr>
          <w:rFonts w:hint="eastAsia" w:ascii="仿宋_GB2312" w:hAnsi="仿宋_GB2312" w:eastAsia="仿宋_GB2312" w:cs="仿宋_GB2312"/>
          <w:color w:val="auto"/>
          <w:w w:val="100"/>
          <w:highlight w:val="none"/>
          <w:lang w:eastAsia="zh-CN"/>
        </w:rPr>
        <w:t>批发用户交易单元各时段合同电量净值不设上限。</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2"/>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5.2.2合同电量方向</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当发电侧交易单元选择买入操作时，其合同电量方向为负，选择卖出操作时，其合同电量方向为正；当用电侧交易单元选择买入操作时，其合同电量方向为正，选择卖出操作时，其合同电量方向为负。</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2"/>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5.2.3可申报电量约束</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3"/>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5.2.3.1定义及基本要求</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5.2.3.1.1经营主体须在可申报电量额度范围内参加中长期电能量交易。</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5.2.3.1.2电力交易机构根据经营主体合同电量净值</w:t>
      </w:r>
      <w:r>
        <w:rPr>
          <w:rFonts w:hint="eastAsia" w:ascii="仿宋_GB2312" w:hAnsi="仿宋_GB2312" w:eastAsia="仿宋_GB2312" w:cs="仿宋_GB2312"/>
          <w:color w:val="auto"/>
          <w:w w:val="100"/>
          <w:highlight w:val="none"/>
          <w:lang w:val="en-US" w:eastAsia="zh-CN"/>
        </w:rPr>
        <w:t>和</w:t>
      </w:r>
      <w:r>
        <w:rPr>
          <w:rFonts w:hint="eastAsia" w:ascii="仿宋_GB2312" w:hAnsi="仿宋_GB2312" w:eastAsia="仿宋_GB2312" w:cs="仿宋_GB2312"/>
          <w:color w:val="auto"/>
          <w:w w:val="100"/>
          <w:highlight w:val="none"/>
          <w:lang w:eastAsia="zh-CN"/>
        </w:rPr>
        <w:t>合同电量净值上下限，计算并发布其可申报电量额度。已申报未成交电量视同已成交电量纳入可申报电量计算，交易结束后根据交易结果更新。</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3"/>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5.2.3.2发电侧可申报电量约束</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5.2.3.2.1可申报电量上限：在单笔电力交易中，进行卖出操作时，上限为其剩余最大发电能力</w:t>
      </w:r>
      <w:r>
        <w:rPr>
          <w:rStyle w:val="16"/>
          <w:rFonts w:hint="eastAsia" w:ascii="仿宋_GB2312" w:hAnsi="仿宋_GB2312" w:eastAsia="仿宋_GB2312" w:cs="仿宋_GB2312"/>
          <w:color w:val="auto"/>
          <w:w w:val="100"/>
          <w:highlight w:val="none"/>
          <w:lang w:eastAsia="zh-CN"/>
        </w:rPr>
        <w:footnoteReference w:id="1"/>
      </w:r>
      <w:r>
        <w:rPr>
          <w:rFonts w:hint="eastAsia" w:ascii="仿宋_GB2312" w:hAnsi="仿宋_GB2312" w:eastAsia="仿宋_GB2312" w:cs="仿宋_GB2312"/>
          <w:color w:val="auto"/>
          <w:w w:val="100"/>
          <w:highlight w:val="none"/>
          <w:lang w:eastAsia="zh-CN"/>
        </w:rPr>
        <w:t>；进行买入操作时，</w:t>
      </w:r>
      <w:r>
        <w:rPr>
          <w:rFonts w:hint="eastAsia" w:ascii="仿宋_GB2312" w:hAnsi="仿宋_GB2312" w:eastAsia="仿宋_GB2312" w:cs="仿宋_GB2312"/>
          <w:color w:val="auto"/>
          <w:w w:val="100"/>
          <w:highlight w:val="none"/>
          <w:lang w:val="en-US" w:eastAsia="zh-CN"/>
        </w:rPr>
        <w:t>在满足发电机组最小发电能力的前提下，省内</w:t>
      </w:r>
      <w:r>
        <w:rPr>
          <w:rFonts w:hint="eastAsia" w:ascii="仿宋_GB2312" w:hAnsi="仿宋_GB2312" w:eastAsia="仿宋_GB2312" w:cs="仿宋_GB2312"/>
          <w:color w:val="auto"/>
          <w:w w:val="100"/>
          <w:sz w:val="32"/>
          <w:szCs w:val="32"/>
          <w:highlight w:val="none"/>
          <w:lang w:eastAsia="zh-CN"/>
        </w:rPr>
        <w:t>中长期直接交易</w:t>
      </w:r>
      <w:r>
        <w:rPr>
          <w:rFonts w:hint="eastAsia" w:ascii="仿宋_GB2312" w:hAnsi="仿宋_GB2312" w:eastAsia="仿宋_GB2312" w:cs="仿宋_GB2312"/>
          <w:color w:val="auto"/>
          <w:w w:val="100"/>
          <w:highlight w:val="none"/>
          <w:lang w:eastAsia="zh-CN"/>
        </w:rPr>
        <w:t>上限为</w:t>
      </w:r>
      <w:r>
        <w:rPr>
          <w:rFonts w:hint="eastAsia" w:ascii="仿宋_GB2312" w:hAnsi="仿宋_GB2312" w:eastAsia="仿宋_GB2312" w:cs="仿宋_GB2312"/>
          <w:color w:val="auto"/>
          <w:w w:val="100"/>
          <w:highlight w:val="none"/>
          <w:lang w:val="en-US" w:eastAsia="zh-CN"/>
        </w:rPr>
        <w:t>交易标的内机组持有的</w:t>
      </w:r>
      <w:r>
        <w:rPr>
          <w:rFonts w:hint="eastAsia" w:ascii="仿宋_GB2312" w:hAnsi="仿宋_GB2312" w:eastAsia="仿宋_GB2312" w:cs="仿宋_GB2312"/>
          <w:color w:val="auto"/>
          <w:w w:val="100"/>
          <w:sz w:val="32"/>
          <w:szCs w:val="32"/>
          <w:highlight w:val="none"/>
          <w:lang w:eastAsia="zh-CN"/>
        </w:rPr>
        <w:t>直接交易</w:t>
      </w:r>
      <w:r>
        <w:rPr>
          <w:rFonts w:hint="eastAsia" w:ascii="仿宋_GB2312" w:hAnsi="仿宋_GB2312" w:eastAsia="仿宋_GB2312" w:cs="仿宋_GB2312"/>
          <w:color w:val="auto"/>
          <w:w w:val="100"/>
          <w:highlight w:val="none"/>
          <w:lang w:eastAsia="zh-CN"/>
        </w:rPr>
        <w:t>合同电量净值，</w:t>
      </w:r>
      <w:r>
        <w:rPr>
          <w:rFonts w:hint="eastAsia" w:ascii="仿宋_GB2312" w:hAnsi="仿宋_GB2312" w:eastAsia="仿宋_GB2312" w:cs="仿宋_GB2312"/>
          <w:color w:val="auto"/>
          <w:w w:val="100"/>
          <w:highlight w:val="none"/>
          <w:lang w:val="en-US" w:eastAsia="zh-CN"/>
        </w:rPr>
        <w:t>电网代理购电挂牌交易上限为交易标的内机组持有的代理购电合约电量净值</w:t>
      </w:r>
      <w:r>
        <w:rPr>
          <w:rFonts w:hint="eastAsia" w:ascii="仿宋_GB2312" w:hAnsi="仿宋_GB2312" w:eastAsia="仿宋_GB2312" w:cs="仿宋_GB2312"/>
          <w:color w:val="auto"/>
          <w:w w:val="100"/>
          <w:highlight w:val="none"/>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5.2.3.2.2可申报电量下限：</w:t>
      </w:r>
      <w:r>
        <w:rPr>
          <w:rFonts w:hint="eastAsia" w:ascii="仿宋_GB2312" w:hAnsi="仿宋_GB2312" w:eastAsia="仿宋_GB2312" w:cs="仿宋_GB2312"/>
          <w:color w:val="auto"/>
          <w:w w:val="100"/>
          <w:highlight w:val="none"/>
          <w:lang w:val="en-US" w:eastAsia="zh-CN"/>
        </w:rPr>
        <w:t>发电侧不设下限</w:t>
      </w:r>
      <w:r>
        <w:rPr>
          <w:rFonts w:hint="eastAsia" w:ascii="仿宋_GB2312" w:hAnsi="仿宋_GB2312" w:eastAsia="仿宋_GB2312" w:cs="仿宋_GB2312"/>
          <w:color w:val="auto"/>
          <w:w w:val="100"/>
          <w:highlight w:val="none"/>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3"/>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5.2.3.3</w:t>
      </w:r>
      <w:r>
        <w:rPr>
          <w:rFonts w:hint="eastAsia" w:ascii="仿宋_GB2312" w:hAnsi="仿宋_GB2312" w:eastAsia="仿宋_GB2312" w:cs="仿宋_GB2312"/>
          <w:color w:val="auto"/>
          <w:w w:val="100"/>
          <w:highlight w:val="none"/>
          <w:lang w:val="en-US" w:eastAsia="zh-CN"/>
        </w:rPr>
        <w:t>电力</w:t>
      </w:r>
      <w:r>
        <w:rPr>
          <w:rFonts w:hint="eastAsia" w:ascii="仿宋_GB2312" w:hAnsi="仿宋_GB2312" w:eastAsia="仿宋_GB2312" w:cs="仿宋_GB2312"/>
          <w:color w:val="auto"/>
          <w:w w:val="100"/>
          <w:highlight w:val="none"/>
          <w:lang w:eastAsia="zh-CN"/>
        </w:rPr>
        <w:t>批发用户可申报电量约束</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5.2.3.3.1可申报电量上限：在单笔电力交易中，进行卖出操作时，上限为其合同电量净值。进行买入操作时，上限为其剩余可交易电量额度</w:t>
      </w:r>
      <w:r>
        <w:rPr>
          <w:rStyle w:val="16"/>
          <w:rFonts w:hint="eastAsia" w:ascii="仿宋_GB2312" w:hAnsi="仿宋_GB2312" w:eastAsia="仿宋_GB2312" w:cs="仿宋_GB2312"/>
          <w:color w:val="auto"/>
          <w:w w:val="100"/>
          <w:highlight w:val="none"/>
          <w:lang w:eastAsia="zh-CN"/>
        </w:rPr>
        <w:footnoteReference w:id="2"/>
      </w:r>
      <w:r>
        <w:rPr>
          <w:rFonts w:hint="eastAsia" w:ascii="仿宋_GB2312" w:hAnsi="仿宋_GB2312" w:eastAsia="仿宋_GB2312" w:cs="仿宋_GB2312"/>
          <w:color w:val="auto"/>
          <w:w w:val="100"/>
          <w:highlight w:val="none"/>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5.2.3.3.2可申报电量下限：</w:t>
      </w:r>
      <w:r>
        <w:rPr>
          <w:rFonts w:hint="eastAsia" w:ascii="仿宋_GB2312" w:hAnsi="仿宋_GB2312" w:eastAsia="仿宋_GB2312" w:cs="仿宋_GB2312"/>
          <w:color w:val="auto"/>
          <w:w w:val="100"/>
          <w:highlight w:val="none"/>
          <w:lang w:val="en-US" w:eastAsia="zh-CN"/>
        </w:rPr>
        <w:t>电力批发用户不设下限</w:t>
      </w:r>
      <w:r>
        <w:rPr>
          <w:rFonts w:hint="eastAsia" w:ascii="仿宋_GB2312" w:hAnsi="仿宋_GB2312" w:eastAsia="仿宋_GB2312" w:cs="仿宋_GB2312"/>
          <w:color w:val="auto"/>
          <w:w w:val="100"/>
          <w:highlight w:val="none"/>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3"/>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5.2.3.4售电公司可申报电量约束</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5.2.3.4.1可申报电量上限：在单笔电力交易中，进行卖出操作时，上限其合同电量净值；进行买入操作时，上限为其剩余可交易电量额度</w:t>
      </w:r>
      <w:r>
        <w:rPr>
          <w:rStyle w:val="16"/>
          <w:rFonts w:hint="eastAsia" w:ascii="仿宋_GB2312" w:hAnsi="仿宋_GB2312" w:eastAsia="仿宋_GB2312" w:cs="仿宋_GB2312"/>
          <w:color w:val="auto"/>
          <w:w w:val="100"/>
          <w:highlight w:val="none"/>
          <w:lang w:eastAsia="zh-CN"/>
        </w:rPr>
        <w:footnoteReference w:id="3"/>
      </w:r>
      <w:r>
        <w:rPr>
          <w:rFonts w:hint="eastAsia" w:ascii="仿宋_GB2312" w:hAnsi="仿宋_GB2312" w:eastAsia="仿宋_GB2312" w:cs="仿宋_GB2312"/>
          <w:color w:val="auto"/>
          <w:w w:val="100"/>
          <w:highlight w:val="none"/>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5.2.3.4.2可申报电量下限：</w:t>
      </w:r>
      <w:r>
        <w:rPr>
          <w:rFonts w:hint="eastAsia" w:ascii="仿宋_GB2312" w:hAnsi="仿宋_GB2312" w:eastAsia="仿宋_GB2312" w:cs="仿宋_GB2312"/>
          <w:color w:val="auto"/>
          <w:w w:val="100"/>
          <w:highlight w:val="none"/>
          <w:lang w:val="en-US" w:eastAsia="zh-CN"/>
        </w:rPr>
        <w:t>售电公司不设下限</w:t>
      </w:r>
      <w:r>
        <w:rPr>
          <w:rFonts w:hint="eastAsia" w:ascii="仿宋_GB2312" w:hAnsi="仿宋_GB2312" w:eastAsia="仿宋_GB2312" w:cs="仿宋_GB2312"/>
          <w:color w:val="auto"/>
          <w:w w:val="100"/>
          <w:highlight w:val="none"/>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3"/>
        <w:rPr>
          <w:rFonts w:hint="eastAsia" w:ascii="仿宋_GB2312" w:hAnsi="仿宋_GB2312" w:eastAsia="仿宋_GB2312" w:cs="仿宋_GB2312"/>
          <w:color w:val="auto"/>
          <w:spacing w:val="0"/>
          <w:w w:val="100"/>
          <w:highlight w:val="none"/>
          <w:lang w:val="en-US" w:eastAsia="zh-CN"/>
        </w:rPr>
      </w:pPr>
      <w:r>
        <w:rPr>
          <w:rFonts w:hint="eastAsia" w:ascii="仿宋_GB2312" w:hAnsi="仿宋_GB2312" w:eastAsia="仿宋_GB2312" w:cs="仿宋_GB2312"/>
          <w:color w:val="auto"/>
          <w:spacing w:val="0"/>
          <w:w w:val="100"/>
          <w:highlight w:val="none"/>
          <w:lang w:val="en-US" w:eastAsia="zh-CN"/>
        </w:rPr>
        <w:t>5.2.3.5电网企业可申报电量约束</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5.2.3.5.1可申报电量上限：在单笔电力交易中，进行卖出操作时，上限其合同电量净值；进行买入操作时，</w:t>
      </w:r>
      <w:r>
        <w:rPr>
          <w:rFonts w:hint="eastAsia" w:ascii="仿宋_GB2312" w:hAnsi="仿宋_GB2312" w:eastAsia="仿宋_GB2312" w:cs="仿宋_GB2312"/>
          <w:color w:val="auto"/>
          <w:w w:val="100"/>
          <w:highlight w:val="none"/>
          <w:lang w:val="en-US" w:eastAsia="zh-CN"/>
        </w:rPr>
        <w:t>不设上限</w:t>
      </w:r>
      <w:r>
        <w:rPr>
          <w:rFonts w:hint="eastAsia" w:ascii="仿宋_GB2312" w:hAnsi="仿宋_GB2312" w:eastAsia="仿宋_GB2312" w:cs="仿宋_GB2312"/>
          <w:color w:val="auto"/>
          <w:w w:val="100"/>
          <w:highlight w:val="none"/>
          <w:lang w:eastAsia="zh-CN"/>
        </w:rPr>
        <w:t>。</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val="en-US" w:eastAsia="zh-CN"/>
        </w:rPr>
      </w:pPr>
      <w:r>
        <w:rPr>
          <w:rFonts w:hint="eastAsia" w:ascii="仿宋_GB2312" w:hAnsi="仿宋_GB2312" w:eastAsia="仿宋_GB2312" w:cs="仿宋_GB2312"/>
          <w:color w:val="auto"/>
          <w:w w:val="100"/>
          <w:highlight w:val="none"/>
          <w:lang w:eastAsia="zh-CN"/>
        </w:rPr>
        <w:t>5.2.3.</w:t>
      </w:r>
      <w:r>
        <w:rPr>
          <w:rFonts w:hint="eastAsia" w:ascii="仿宋_GB2312" w:hAnsi="仿宋_GB2312" w:eastAsia="仿宋_GB2312" w:cs="仿宋_GB2312"/>
          <w:color w:val="auto"/>
          <w:w w:val="100"/>
          <w:highlight w:val="none"/>
          <w:lang w:val="en-US" w:eastAsia="zh-CN"/>
        </w:rPr>
        <w:t>5</w:t>
      </w:r>
      <w:r>
        <w:rPr>
          <w:rFonts w:hint="eastAsia" w:ascii="仿宋_GB2312" w:hAnsi="仿宋_GB2312" w:eastAsia="仿宋_GB2312" w:cs="仿宋_GB2312"/>
          <w:color w:val="auto"/>
          <w:w w:val="100"/>
          <w:highlight w:val="none"/>
          <w:lang w:eastAsia="zh-CN"/>
        </w:rPr>
        <w:t>.2可申报电量下限：</w:t>
      </w:r>
      <w:r>
        <w:rPr>
          <w:rFonts w:hint="eastAsia" w:ascii="仿宋_GB2312" w:hAnsi="仿宋_GB2312" w:eastAsia="仿宋_GB2312" w:cs="仿宋_GB2312"/>
          <w:color w:val="auto"/>
          <w:w w:val="100"/>
          <w:highlight w:val="none"/>
          <w:lang w:val="en-US" w:eastAsia="zh-CN"/>
        </w:rPr>
        <w:t>电网企业不设下限</w:t>
      </w:r>
      <w:r>
        <w:rPr>
          <w:rFonts w:hint="eastAsia" w:ascii="仿宋_GB2312" w:hAnsi="仿宋_GB2312" w:eastAsia="仿宋_GB2312" w:cs="仿宋_GB2312"/>
          <w:color w:val="auto"/>
          <w:w w:val="100"/>
          <w:highlight w:val="none"/>
          <w:lang w:eastAsia="zh-CN"/>
        </w:rPr>
        <w:t>。</w:t>
      </w:r>
    </w:p>
    <w:p>
      <w:pPr>
        <w:pStyle w:val="7"/>
        <w:pageBreakBefore w:val="0"/>
        <w:kinsoku/>
        <w:wordWrap/>
        <w:overflowPunct/>
        <w:topLinePunct w:val="0"/>
        <w:autoSpaceDE/>
        <w:autoSpaceDN/>
        <w:bidi w:val="0"/>
        <w:adjustRightInd/>
        <w:spacing w:line="560" w:lineRule="exact"/>
        <w:ind w:left="0" w:right="0" w:firstLine="643" w:firstLineChars="200"/>
        <w:jc w:val="both"/>
        <w:textAlignment w:val="auto"/>
        <w:outlineLvl w:val="1"/>
        <w:rPr>
          <w:rFonts w:ascii="仿宋_GB2312" w:hAnsi="仿宋_GB2312" w:eastAsia="仿宋_GB2312" w:cs="仿宋_GB2312"/>
          <w:b/>
          <w:bCs/>
          <w:color w:val="auto"/>
          <w:w w:val="100"/>
          <w:highlight w:val="none"/>
          <w:lang w:eastAsia="zh-CN"/>
        </w:rPr>
      </w:pPr>
      <w:r>
        <w:rPr>
          <w:rFonts w:hint="eastAsia" w:ascii="仿宋_GB2312" w:hAnsi="仿宋_GB2312" w:eastAsia="仿宋_GB2312" w:cs="仿宋_GB2312"/>
          <w:b/>
          <w:bCs/>
          <w:color w:val="auto"/>
          <w:w w:val="100"/>
          <w:highlight w:val="none"/>
          <w:lang w:eastAsia="zh-CN"/>
        </w:rPr>
        <w:t>5.3</w:t>
      </w:r>
      <w:r>
        <w:rPr>
          <w:rFonts w:hint="eastAsia" w:ascii="仿宋_GB2312" w:hAnsi="仿宋_GB2312" w:eastAsia="仿宋_GB2312" w:cs="仿宋_GB2312"/>
          <w:b/>
          <w:bCs/>
          <w:color w:val="auto"/>
          <w:spacing w:val="1"/>
          <w:w w:val="100"/>
          <w:highlight w:val="none"/>
          <w:lang w:eastAsia="zh-CN"/>
        </w:rPr>
        <w:t>交易组</w:t>
      </w:r>
      <w:r>
        <w:rPr>
          <w:rFonts w:hint="eastAsia" w:ascii="仿宋_GB2312" w:hAnsi="仿宋_GB2312" w:eastAsia="仿宋_GB2312" w:cs="仿宋_GB2312"/>
          <w:b/>
          <w:bCs/>
          <w:color w:val="auto"/>
          <w:w w:val="100"/>
          <w:highlight w:val="none"/>
          <w:lang w:eastAsia="zh-CN"/>
        </w:rPr>
        <w:t>织流程</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5.3.1年度双边协商交易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已完成交易平台注册且符合准入条件的发电企业、电力用户、售电公司。</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年度双边协商交易的标的物为直接交易经营主体次年的电量。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交易中心发布年度交易公告，内容包括但不限于：时间安排、交易组织流程、各发电企业机组交易约束条件等。</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5.3.1.4交易申报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sz w:val="32"/>
          <w:szCs w:val="32"/>
          <w:highlight w:val="none"/>
          <w:lang w:val="en-US" w:eastAsia="zh-CN"/>
        </w:rPr>
        <w:t>发电企业只能作为卖方，电力用户和售电公司只能作为买方</w:t>
      </w:r>
      <w:r>
        <w:rPr>
          <w:rFonts w:hint="eastAsia" w:ascii="仿宋_GB2312" w:hAnsi="仿宋_GB2312" w:eastAsia="仿宋_GB2312" w:cs="仿宋_GB2312"/>
          <w:b w:val="0"/>
          <w:bCs w:val="0"/>
          <w:color w:val="auto"/>
          <w:w w:val="100"/>
          <w:kern w:val="0"/>
          <w:sz w:val="32"/>
          <w:szCs w:val="32"/>
          <w:highlight w:val="none"/>
          <w:lang w:val="en-US" w:eastAsia="zh-CN" w:bidi="ar"/>
        </w:rPr>
        <w:t>，经营主体自主协商确定年度电量和价格后，采用自定义或典型曲线，将电量分解到月、日、小时，交易开始后由任意一方在交易平台中发起申报，另一方在申报时间截止前进行确认后达成交易意向，未在申报时间截止前确认的视为未成交。</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5.3.2</w:t>
      </w:r>
      <w:r>
        <w:rPr>
          <w:rFonts w:hint="eastAsia" w:ascii="仿宋_GB2312" w:hAnsi="仿宋_GB2312" w:eastAsia="仿宋_GB2312" w:cs="仿宋_GB2312"/>
          <w:b w:val="0"/>
          <w:bCs w:val="0"/>
          <w:color w:val="auto"/>
          <w:w w:val="100"/>
          <w:kern w:val="0"/>
          <w:sz w:val="32"/>
          <w:szCs w:val="32"/>
          <w:highlight w:val="none"/>
          <w:lang w:bidi="ar"/>
        </w:rPr>
        <w:t>年度</w:t>
      </w:r>
      <w:r>
        <w:rPr>
          <w:rFonts w:hint="eastAsia" w:ascii="仿宋_GB2312" w:hAnsi="仿宋_GB2312" w:eastAsia="仿宋_GB2312" w:cs="仿宋_GB2312"/>
          <w:b w:val="0"/>
          <w:bCs w:val="0"/>
          <w:color w:val="auto"/>
          <w:w w:val="100"/>
          <w:kern w:val="0"/>
          <w:sz w:val="32"/>
          <w:szCs w:val="32"/>
          <w:highlight w:val="none"/>
          <w:lang w:val="en-US" w:eastAsia="zh-CN" w:bidi="ar"/>
        </w:rPr>
        <w:t>集中竞价</w:t>
      </w:r>
      <w:r>
        <w:rPr>
          <w:rFonts w:hint="eastAsia" w:ascii="仿宋_GB2312" w:hAnsi="仿宋_GB2312" w:eastAsia="仿宋_GB2312" w:cs="仿宋_GB2312"/>
          <w:b w:val="0"/>
          <w:bCs w:val="0"/>
          <w:color w:val="auto"/>
          <w:w w:val="100"/>
          <w:kern w:val="0"/>
          <w:sz w:val="32"/>
          <w:szCs w:val="32"/>
          <w:highlight w:val="none"/>
          <w:lang w:bidi="ar"/>
        </w:rPr>
        <w:t>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5.3.2.1参与的经营主体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rPr>
        <w:t>已完成交易平台注册且符合准入条件的发电企业、电力用户、售电公司</w:t>
      </w:r>
      <w:r>
        <w:rPr>
          <w:rFonts w:hint="eastAsia" w:ascii="仿宋_GB2312" w:hAnsi="仿宋_GB2312" w:eastAsia="仿宋_GB2312" w:cs="仿宋_GB2312"/>
          <w:b w:val="0"/>
          <w:bCs w:val="0"/>
          <w:color w:val="auto"/>
          <w:w w:val="100"/>
          <w:kern w:val="0"/>
          <w:sz w:val="32"/>
          <w:szCs w:val="32"/>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5.3.2.2交易周期及标的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年度集中竞价交易的标的物为直接交易经营主体次年的电量。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5.3.2.3交易公告发布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sz w:val="32"/>
          <w:szCs w:val="32"/>
          <w:highlight w:val="none"/>
        </w:rPr>
        <w:t>交易中心提前发布</w:t>
      </w:r>
      <w:r>
        <w:rPr>
          <w:rFonts w:hint="eastAsia" w:ascii="仿宋_GB2312" w:hAnsi="仿宋_GB2312" w:eastAsia="仿宋_GB2312" w:cs="仿宋_GB2312"/>
          <w:b w:val="0"/>
          <w:bCs w:val="0"/>
          <w:color w:val="auto"/>
          <w:w w:val="100"/>
          <w:sz w:val="32"/>
          <w:szCs w:val="32"/>
          <w:highlight w:val="none"/>
          <w:lang w:val="en-US" w:eastAsia="zh-CN"/>
        </w:rPr>
        <w:t>年度</w:t>
      </w:r>
      <w:r>
        <w:rPr>
          <w:rFonts w:hint="eastAsia" w:ascii="仿宋_GB2312" w:hAnsi="仿宋_GB2312" w:eastAsia="仿宋_GB2312" w:cs="仿宋_GB2312"/>
          <w:b w:val="0"/>
          <w:bCs w:val="0"/>
          <w:snapToGrid w:val="0"/>
          <w:color w:val="auto"/>
          <w:w w:val="100"/>
          <w:kern w:val="18"/>
          <w:sz w:val="32"/>
          <w:szCs w:val="32"/>
          <w:highlight w:val="none"/>
        </w:rPr>
        <w:t>集中</w:t>
      </w:r>
      <w:r>
        <w:rPr>
          <w:rFonts w:hint="eastAsia" w:ascii="仿宋_GB2312" w:hAnsi="仿宋_GB2312" w:eastAsia="仿宋_GB2312" w:cs="仿宋_GB2312"/>
          <w:b w:val="0"/>
          <w:bCs w:val="0"/>
          <w:snapToGrid w:val="0"/>
          <w:color w:val="auto"/>
          <w:w w:val="100"/>
          <w:kern w:val="18"/>
          <w:sz w:val="32"/>
          <w:szCs w:val="32"/>
          <w:highlight w:val="none"/>
          <w:lang w:val="en-US" w:eastAsia="zh-CN"/>
        </w:rPr>
        <w:t>竞价</w:t>
      </w:r>
      <w:r>
        <w:rPr>
          <w:rFonts w:hint="eastAsia" w:ascii="仿宋_GB2312" w:hAnsi="仿宋_GB2312" w:eastAsia="仿宋_GB2312" w:cs="仿宋_GB2312"/>
          <w:b w:val="0"/>
          <w:bCs w:val="0"/>
          <w:snapToGrid w:val="0"/>
          <w:color w:val="auto"/>
          <w:w w:val="100"/>
          <w:kern w:val="18"/>
          <w:sz w:val="32"/>
          <w:szCs w:val="32"/>
          <w:highlight w:val="none"/>
        </w:rPr>
        <w:t>交易</w:t>
      </w:r>
      <w:r>
        <w:rPr>
          <w:rFonts w:hint="eastAsia" w:ascii="仿宋_GB2312" w:hAnsi="仿宋_GB2312" w:eastAsia="仿宋_GB2312" w:cs="仿宋_GB2312"/>
          <w:b w:val="0"/>
          <w:bCs w:val="0"/>
          <w:color w:val="auto"/>
          <w:w w:val="100"/>
          <w:sz w:val="32"/>
          <w:szCs w:val="32"/>
          <w:highlight w:val="none"/>
        </w:rPr>
        <w:t>公告，内容包括但不限于：时间安排、交易组织流程、各发电企业</w:t>
      </w:r>
      <w:r>
        <w:rPr>
          <w:rFonts w:hint="eastAsia" w:ascii="仿宋_GB2312" w:hAnsi="仿宋_GB2312" w:eastAsia="仿宋_GB2312" w:cs="仿宋_GB2312"/>
          <w:b w:val="0"/>
          <w:bCs w:val="0"/>
          <w:color w:val="auto"/>
          <w:w w:val="100"/>
          <w:sz w:val="32"/>
          <w:szCs w:val="32"/>
          <w:highlight w:val="none"/>
          <w:lang w:val="en-US" w:eastAsia="zh-CN"/>
        </w:rPr>
        <w:t>机组交易</w:t>
      </w:r>
      <w:r>
        <w:rPr>
          <w:rFonts w:hint="eastAsia" w:ascii="仿宋_GB2312" w:hAnsi="仿宋_GB2312" w:eastAsia="仿宋_GB2312" w:cs="仿宋_GB2312"/>
          <w:b w:val="0"/>
          <w:bCs w:val="0"/>
          <w:color w:val="auto"/>
          <w:w w:val="100"/>
          <w:sz w:val="32"/>
          <w:szCs w:val="32"/>
          <w:highlight w:val="none"/>
        </w:rPr>
        <w:t>约束</w:t>
      </w:r>
      <w:r>
        <w:rPr>
          <w:rFonts w:hint="eastAsia" w:ascii="仿宋_GB2312" w:hAnsi="仿宋_GB2312" w:eastAsia="仿宋_GB2312" w:cs="仿宋_GB2312"/>
          <w:b w:val="0"/>
          <w:bCs w:val="0"/>
          <w:color w:val="auto"/>
          <w:w w:val="100"/>
          <w:sz w:val="32"/>
          <w:szCs w:val="32"/>
          <w:highlight w:val="none"/>
          <w:lang w:val="en-US" w:eastAsia="zh-CN"/>
        </w:rPr>
        <w:t>条件</w:t>
      </w:r>
      <w:r>
        <w:rPr>
          <w:rFonts w:hint="eastAsia" w:ascii="仿宋_GB2312" w:hAnsi="仿宋_GB2312" w:eastAsia="仿宋_GB2312" w:cs="仿宋_GB2312"/>
          <w:b w:val="0"/>
          <w:bCs w:val="0"/>
          <w:color w:val="auto"/>
          <w:w w:val="100"/>
          <w:sz w:val="32"/>
          <w:szCs w:val="32"/>
          <w:highlight w:val="none"/>
        </w:rPr>
        <w:t>等</w:t>
      </w:r>
      <w:r>
        <w:rPr>
          <w:rFonts w:hint="eastAsia" w:ascii="仿宋_GB2312" w:hAnsi="仿宋_GB2312" w:eastAsia="仿宋_GB2312" w:cs="仿宋_GB2312"/>
          <w:b w:val="0"/>
          <w:bCs w:val="0"/>
          <w:color w:val="auto"/>
          <w:w w:val="100"/>
          <w:kern w:val="0"/>
          <w:sz w:val="32"/>
          <w:szCs w:val="32"/>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5.3.2.4交易申报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sz w:val="32"/>
          <w:szCs w:val="32"/>
          <w:highlight w:val="none"/>
          <w:lang w:val="en-US" w:eastAsia="zh-CN"/>
        </w:rPr>
        <w:t>发电企业只能作为卖方，电力用户和售电公司只能作为买方</w:t>
      </w:r>
      <w:r>
        <w:rPr>
          <w:rFonts w:hint="eastAsia" w:ascii="仿宋_GB2312" w:hAnsi="仿宋_GB2312" w:eastAsia="仿宋_GB2312" w:cs="仿宋_GB2312"/>
          <w:b w:val="0"/>
          <w:bCs w:val="0"/>
          <w:color w:val="auto"/>
          <w:w w:val="100"/>
          <w:kern w:val="0"/>
          <w:sz w:val="32"/>
          <w:szCs w:val="32"/>
          <w:highlight w:val="none"/>
          <w:lang w:val="en-US" w:eastAsia="zh-CN" w:bidi="ar"/>
        </w:rPr>
        <w:t>，申报电量要求详见【5.2.3可申报电量约束】</w:t>
      </w:r>
      <w:r>
        <w:rPr>
          <w:rFonts w:hint="eastAsia" w:ascii="仿宋_GB2312" w:hAnsi="仿宋_GB2312" w:eastAsia="仿宋_GB2312" w:cs="仿宋_GB2312"/>
          <w:b w:val="0"/>
          <w:bCs w:val="0"/>
          <w:snapToGrid w:val="0"/>
          <w:color w:val="auto"/>
          <w:w w:val="100"/>
          <w:kern w:val="18"/>
          <w:sz w:val="32"/>
          <w:szCs w:val="32"/>
          <w:highlight w:val="none"/>
        </w:rPr>
        <w:t>。</w:t>
      </w:r>
      <w:r>
        <w:rPr>
          <w:rFonts w:hint="eastAsia" w:ascii="仿宋_GB2312" w:hAnsi="仿宋_GB2312" w:eastAsia="仿宋_GB2312" w:cs="仿宋_GB2312"/>
          <w:b w:val="0"/>
          <w:bCs w:val="0"/>
          <w:color w:val="auto"/>
          <w:w w:val="100"/>
          <w:sz w:val="32"/>
          <w:szCs w:val="32"/>
          <w:highlight w:val="none"/>
          <w:lang w:eastAsia="zh-CN"/>
        </w:rPr>
        <w:t>经营主体</w:t>
      </w:r>
      <w:r>
        <w:rPr>
          <w:rFonts w:hint="eastAsia" w:ascii="仿宋_GB2312" w:hAnsi="仿宋_GB2312" w:eastAsia="仿宋_GB2312" w:cs="仿宋_GB2312"/>
          <w:b w:val="0"/>
          <w:bCs w:val="0"/>
          <w:color w:val="auto"/>
          <w:w w:val="100"/>
          <w:sz w:val="32"/>
          <w:szCs w:val="32"/>
          <w:highlight w:val="none"/>
        </w:rPr>
        <w:t>通过</w:t>
      </w:r>
      <w:r>
        <w:rPr>
          <w:rFonts w:hint="eastAsia" w:ascii="仿宋_GB2312" w:hAnsi="仿宋_GB2312" w:eastAsia="仿宋_GB2312" w:cs="仿宋_GB2312"/>
          <w:b w:val="0"/>
          <w:bCs w:val="0"/>
          <w:snapToGrid w:val="0"/>
          <w:color w:val="auto"/>
          <w:w w:val="100"/>
          <w:kern w:val="18"/>
          <w:sz w:val="32"/>
          <w:szCs w:val="32"/>
          <w:highlight w:val="none"/>
        </w:rPr>
        <w:t>交易平台申报交易电量和交易价格，</w:t>
      </w:r>
      <w:r>
        <w:rPr>
          <w:rFonts w:hint="eastAsia" w:ascii="仿宋_GB2312" w:hAnsi="仿宋_GB2312" w:eastAsia="仿宋_GB2312" w:cs="仿宋_GB2312"/>
          <w:b w:val="0"/>
          <w:bCs w:val="0"/>
          <w:color w:val="auto"/>
          <w:w w:val="100"/>
          <w:kern w:val="0"/>
          <w:sz w:val="32"/>
          <w:szCs w:val="32"/>
          <w:highlight w:val="none"/>
          <w:lang w:val="en-US" w:eastAsia="zh-CN" w:bidi="ar"/>
        </w:rPr>
        <w:t>可以年度总量或分月电量为交易标的组织申报，申报时间截止前可对已申报数据进行撤销。</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5.3.2.5无约束出清</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9"/>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成交电量在无约束出清时自动通过典型曲线分解至月、日、小时。</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5.3.3年度电网代理购电挂牌交易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5.3.3.1参与的经营主体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已完成交易平台注册且符合准入条件的发电企业、电网企业（含增量配电网企业）。</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5.3.3.2交易周期及标的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年度电网代理购电挂牌交易的标的物为电网企业代理购电次年的电量。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5.3.3.3交易公告发布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交易中心发布年度电网代理购电交易公告，内容包括但不限于：时间安排、挂牌电量、挂牌价格和各发电机组交易约束条件等。</w:t>
      </w:r>
    </w:p>
    <w:p>
      <w:pPr>
        <w:widowControl/>
        <w:spacing w:line="600" w:lineRule="exact"/>
        <w:ind w:left="0" w:firstLine="640" w:firstLineChars="200"/>
        <w:jc w:val="both"/>
        <w:rPr>
          <w:rFonts w:hint="eastAsia" w:ascii="仿宋_GB2312" w:hAnsi="仿宋_GB2312" w:eastAsia="仿宋_GB2312" w:cs="仿宋_GB2312"/>
          <w:color w:val="auto"/>
          <w:sz w:val="32"/>
          <w:szCs w:val="32"/>
          <w:highlight w:val="none"/>
          <w:lang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5.3.3.4挂牌</w:t>
      </w:r>
      <w:r>
        <w:rPr>
          <w:rFonts w:hint="eastAsia" w:ascii="仿宋_GB2312" w:hAnsi="仿宋_GB2312" w:eastAsia="仿宋_GB2312" w:cs="仿宋_GB2312"/>
          <w:color w:val="auto"/>
          <w:sz w:val="32"/>
          <w:szCs w:val="32"/>
          <w:highlight w:val="none"/>
          <w:lang w:eastAsia="zh-CN" w:bidi="ar"/>
        </w:rPr>
        <w:t>价格</w:t>
      </w:r>
    </w:p>
    <w:p>
      <w:pPr>
        <w:widowControl/>
        <w:spacing w:line="600" w:lineRule="exact"/>
        <w:ind w:left="0" w:firstLine="640" w:firstLineChars="200"/>
        <w:jc w:val="both"/>
        <w:rPr>
          <w:rFonts w:hint="eastAsia" w:ascii="仿宋_GB2312" w:hAnsi="仿宋_GB2312" w:eastAsia="仿宋_GB2312" w:cs="仿宋_GB2312"/>
          <w:color w:val="auto"/>
          <w:sz w:val="32"/>
          <w:szCs w:val="32"/>
          <w:highlight w:val="none"/>
          <w:lang w:eastAsia="zh-CN" w:bidi="ar"/>
        </w:rPr>
      </w:pPr>
      <w:r>
        <w:rPr>
          <w:rFonts w:hint="eastAsia" w:ascii="仿宋_GB2312" w:hAnsi="仿宋_GB2312" w:eastAsia="仿宋_GB2312" w:cs="仿宋_GB2312"/>
          <w:color w:val="auto"/>
          <w:sz w:val="32"/>
          <w:szCs w:val="32"/>
          <w:highlight w:val="none"/>
          <w:lang w:eastAsia="zh-CN" w:bidi="ar"/>
        </w:rPr>
        <w:t>年度电网代理购电</w:t>
      </w:r>
      <w:r>
        <w:rPr>
          <w:rFonts w:hint="eastAsia" w:ascii="仿宋_GB2312" w:hAnsi="仿宋_GB2312" w:eastAsia="仿宋_GB2312" w:cs="仿宋_GB2312"/>
          <w:b w:val="0"/>
          <w:bCs w:val="0"/>
          <w:color w:val="auto"/>
          <w:w w:val="100"/>
          <w:kern w:val="0"/>
          <w:sz w:val="32"/>
          <w:szCs w:val="32"/>
          <w:highlight w:val="none"/>
          <w:lang w:val="en-US" w:eastAsia="zh-CN" w:bidi="ar"/>
        </w:rPr>
        <w:t>挂牌</w:t>
      </w:r>
      <w:r>
        <w:rPr>
          <w:rFonts w:hint="eastAsia" w:ascii="仿宋_GB2312" w:hAnsi="仿宋_GB2312" w:eastAsia="仿宋_GB2312" w:cs="仿宋_GB2312"/>
          <w:color w:val="auto"/>
          <w:sz w:val="32"/>
          <w:szCs w:val="32"/>
          <w:highlight w:val="none"/>
          <w:lang w:eastAsia="zh-CN" w:bidi="ar"/>
        </w:rPr>
        <w:t>交易价格按照年度直接交易中长期合约加权平均价执行。</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5.3.3.5交易申报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电网企业代理购电电量采用自定义或典型曲线分解到月、日、小时后进行挂牌（即买入），形成要约。电网企业挂牌后各发电机组进行摘牌（即卖出），摘牌电量要求详见【5.2.3可申报电量约束】。</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5.3.3.6无约束出清</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依据挂牌电量优先满足各发电机组剩余最小发电能力，剩余挂牌电量</w:t>
      </w:r>
      <w:r>
        <w:rPr>
          <w:rFonts w:hint="default" w:ascii="仿宋_GB2312" w:hAnsi="仿宋_GB2312" w:eastAsia="仿宋_GB2312" w:cs="仿宋_GB2312"/>
          <w:b w:val="0"/>
          <w:bCs w:val="0"/>
          <w:color w:val="auto"/>
          <w:w w:val="100"/>
          <w:kern w:val="0"/>
          <w:sz w:val="32"/>
          <w:szCs w:val="32"/>
          <w:highlight w:val="none"/>
          <w:lang w:val="en-US" w:eastAsia="zh-CN" w:bidi="ar"/>
        </w:rPr>
        <w:t>按</w:t>
      </w:r>
      <w:r>
        <w:rPr>
          <w:rFonts w:hint="eastAsia" w:ascii="仿宋_GB2312" w:hAnsi="仿宋_GB2312" w:eastAsia="仿宋_GB2312" w:cs="仿宋_GB2312"/>
          <w:b w:val="0"/>
          <w:bCs w:val="0"/>
          <w:color w:val="auto"/>
          <w:w w:val="100"/>
          <w:kern w:val="0"/>
          <w:sz w:val="32"/>
          <w:szCs w:val="32"/>
          <w:highlight w:val="none"/>
          <w:lang w:val="en-US" w:eastAsia="zh-CN" w:bidi="ar"/>
        </w:rPr>
        <w:t>各机组摘牌时间先后顺序成交。若主动参与摘牌量小于电网企业挂牌量或者无发电机组主动摘牌，则按参与市场化交易机组的剩余容量等比例分配。年度交易按挂、摘牌分解到月、日、小时的电量汇总后按月出清，调度安全校核环节被削减的电量，由交易中心重新组织交易，原则上不超过一次，被削减的发电机组不得再次参与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5.3.4季度双边协商交易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5.3.4.1参与的经营主体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新注册且满足参加批发交易条件的电力用户和售电公司、已入市且新装用电的电力批发用户、新增代理零售用户的售电公司、已完成交易平台注册且符合准入条件的发电企业可参加季度交易购买下一季度电量。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5.3.4.2交易周期及标的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季度双边协商交易的标的物为直接交易经营主体次季度的电量。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5.4.4.3交易公告发布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按【5.3.1年度双边协商交易】的交易公告发布要求执行，如有变化以正式发布公告为准。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5.3.4.4交易申报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按【5.3.1年度双边协商交易】的交易申报方式执行，如有变化，以正式发布公告为准。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5.3.5月度集中交易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可采用集中竞价、滚动撮合、挂牌交易任意一种或多种方式开展。允许经营主体作为合约的买方或卖方单向参与月度集中交易。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已完成交易平台注册且符合准入条件的发电企业、电力用户、售电公司。</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月度集中交易的标的物为直接交易经营主体次月的电量。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交易中心发布月度集中交易公告，内容包括但不限于：时间安排、交易组织流程、各发电企业机组交易约束条件等。</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5.3.5.4交易申报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5.3.5.4.1集中竞价交易：申报电量要求详见【5.2.3可申报电量约束】。经营主体通过交易平台申报交易电量和交易价格，申报时间截止前可对已申报数据进行撤销。</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5.3.5.4.2滚动撮合交易：集中竞价阶段未成交的交易申报自动进入滚动撮合阶段。经营主体在指定的交易时段内，按标的申报拟买入或卖出的交易电量与价格，申报电量要求详见【5.2.3可申报电量约束】。经营主体未成交的交易申报电量可在交易窗口时间内撤销，已成交的交易申报电量不能撤销。</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5.3.5.4.3挂牌交易：挂牌方按标的将拟买入或卖出的交易电量和价格等信息对外发布要约，摘牌方自主选择已经挂牌的电量进行摘牌，可全部摘牌也可选择部分摘牌。申报电量要求详见【5.2.3可申报电量约束】。</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5.3.5.5无约束出清</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5.3.5.5.1集中竞价交易：</w:t>
      </w:r>
      <w:r>
        <w:rPr>
          <w:rFonts w:hint="eastAsia" w:ascii="仿宋_GB2312" w:hAnsi="仿宋_GB2312" w:eastAsia="仿宋_GB2312" w:cs="仿宋_GB2312"/>
          <w:b w:val="0"/>
          <w:bCs w:val="0"/>
          <w:color w:val="auto"/>
          <w:w w:val="100"/>
          <w:sz w:val="32"/>
          <w:szCs w:val="32"/>
          <w:highlight w:val="none"/>
        </w:rPr>
        <w:t>采用高低匹配出清</w:t>
      </w:r>
      <w:r>
        <w:rPr>
          <w:rFonts w:hint="eastAsia" w:ascii="仿宋_GB2312" w:hAnsi="仿宋_GB2312" w:eastAsia="仿宋_GB2312" w:cs="仿宋_GB2312"/>
          <w:b w:val="0"/>
          <w:bCs w:val="0"/>
          <w:color w:val="auto"/>
          <w:w w:val="100"/>
          <w:sz w:val="32"/>
          <w:szCs w:val="32"/>
          <w:highlight w:val="none"/>
          <w:lang w:eastAsia="zh-CN"/>
        </w:rPr>
        <w:t>，</w:t>
      </w:r>
      <w:r>
        <w:rPr>
          <w:rFonts w:hint="eastAsia" w:ascii="仿宋_GB2312" w:hAnsi="仿宋_GB2312" w:eastAsia="仿宋_GB2312" w:cs="仿宋_GB2312"/>
          <w:b w:val="0"/>
          <w:bCs w:val="0"/>
          <w:color w:val="auto"/>
          <w:w w:val="100"/>
          <w:kern w:val="0"/>
          <w:sz w:val="32"/>
          <w:szCs w:val="32"/>
          <w:highlight w:val="none"/>
          <w:lang w:val="en-US" w:eastAsia="zh-CN" w:bidi="ar"/>
        </w:rPr>
        <w:t>成交电量在无约束出清时自动通过典型曲线分解至日、小时。</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5.3.5.5.2滚动撮合交易：交易平台按照时间优先、价格优先的原则进行滚动撮合成交，撮合规则按【</w:t>
      </w:r>
      <w:r>
        <w:rPr>
          <w:rFonts w:hint="eastAsia" w:ascii="仿宋_GB2312" w:hAnsi="仿宋_GB2312" w:eastAsia="仿宋_GB2312" w:cs="仿宋_GB2312"/>
          <w:color w:val="auto"/>
          <w:spacing w:val="0"/>
          <w:w w:val="100"/>
          <w:sz w:val="32"/>
          <w:szCs w:val="32"/>
          <w:highlight w:val="none"/>
          <w:lang w:eastAsia="zh-CN" w:bidi="ar"/>
        </w:rPr>
        <w:t>4.2.</w:t>
      </w:r>
      <w:r>
        <w:rPr>
          <w:rFonts w:hint="eastAsia" w:ascii="仿宋_GB2312" w:hAnsi="仿宋_GB2312" w:eastAsia="仿宋_GB2312" w:cs="仿宋_GB2312"/>
          <w:color w:val="auto"/>
          <w:w w:val="100"/>
          <w:sz w:val="32"/>
          <w:szCs w:val="32"/>
          <w:highlight w:val="none"/>
          <w:lang w:eastAsia="zh-CN" w:bidi="ar"/>
        </w:rPr>
        <w:t>2.2滚动撮合</w:t>
      </w:r>
      <w:r>
        <w:rPr>
          <w:rFonts w:hint="eastAsia" w:ascii="仿宋_GB2312" w:hAnsi="仿宋_GB2312" w:eastAsia="仿宋_GB2312" w:cs="仿宋_GB2312"/>
          <w:b w:val="0"/>
          <w:bCs w:val="0"/>
          <w:color w:val="auto"/>
          <w:w w:val="100"/>
          <w:kern w:val="0"/>
          <w:sz w:val="32"/>
          <w:szCs w:val="32"/>
          <w:highlight w:val="none"/>
          <w:lang w:val="en-US" w:eastAsia="zh-CN" w:bidi="ar"/>
        </w:rPr>
        <w:t>】执行。</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5.3.5.5.3挂牌交易：采用即时出清或统一出清方式。挂牌方发布要约的价格即为该笔成交对的成交价格。</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（1）同一笔挂牌电量若被多个交易单元摘牌，则按照摘牌“时间优先”原则依序形成合同；</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（2）若时间优先级相同，则按申报比例分配交易电量；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（3）若最后一笔成交对的摘牌量大于剩余挂牌量时，该笔成交量为剩余挂牌量。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5.3.6月度电网代理购电挂牌交易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5.3.6.1参与的经营主体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已完成交易平台注册且符合准入条件的发电企业、电网企业（含增量配电网企业）。</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5.3.6.2交易周期及标的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月度电网代理购电挂牌交易的标的物为电网企业代理购电次月的电量。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5.3.6.3交易公告发布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交易中心发布月度电网代理购电交易公告，内容包括但不限于：时间安排、挂牌电量、挂牌价格和各发电企业机组交易约束条件等。</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color w:val="auto"/>
          <w:sz w:val="32"/>
          <w:szCs w:val="32"/>
          <w:highlight w:val="none"/>
          <w:lang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5.3.6.4挂牌</w:t>
      </w:r>
      <w:r>
        <w:rPr>
          <w:rFonts w:hint="eastAsia" w:ascii="仿宋_GB2312" w:hAnsi="仿宋_GB2312" w:eastAsia="仿宋_GB2312" w:cs="仿宋_GB2312"/>
          <w:color w:val="auto"/>
          <w:sz w:val="32"/>
          <w:szCs w:val="32"/>
          <w:highlight w:val="none"/>
          <w:lang w:eastAsia="zh-CN" w:bidi="ar"/>
        </w:rPr>
        <w:t>价格</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color w:val="auto"/>
          <w:sz w:val="32"/>
          <w:szCs w:val="32"/>
          <w:highlight w:val="none"/>
          <w:lang w:eastAsia="zh-CN" w:bidi="ar"/>
        </w:rPr>
        <w:t>月度电网代理购电挂牌交易价格按照</w:t>
      </w:r>
      <w:r>
        <w:rPr>
          <w:rFonts w:hint="eastAsia" w:ascii="仿宋_GB2312" w:hAnsi="宋体" w:eastAsia="仿宋_GB2312" w:cs="仿宋_GB2312"/>
          <w:color w:val="auto"/>
          <w:kern w:val="0"/>
          <w:sz w:val="32"/>
          <w:szCs w:val="32"/>
          <w:highlight w:val="none"/>
          <w:lang w:val="en-US" w:eastAsia="zh-CN" w:bidi="ar"/>
        </w:rPr>
        <w:t>直接交易用户（含售电公司）当月月度集中竞价交易加权平均价格执行；若无集中竞价交易加权平均价，按照当月直接交易中长期合约加权平均价执行。</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5.3.6.5交易申报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电网企业代理购电电量采用自定义或典型曲线分解到日、小时后进行挂牌，形成要约。电网企业和发电企业可作为合约的买方或卖方单向参与月度电网代理购电挂牌交易。电网企业挂牌后各发电机组进行摘牌，摘牌电量要求详见【5.2.3可申报电量约束】。</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5.3.6.6无约束出清</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5.3.6.6.1当电网企业作为买方时，</w:t>
      </w:r>
      <w:r>
        <w:rPr>
          <w:rFonts w:hint="eastAsia" w:ascii="仿宋_GB2312" w:hAnsi="仿宋_GB2312" w:eastAsia="仿宋_GB2312" w:cs="仿宋_GB2312"/>
          <w:color w:val="auto"/>
          <w:w w:val="100"/>
          <w:sz w:val="32"/>
          <w:szCs w:val="32"/>
          <w:highlight w:val="none"/>
          <w:lang w:eastAsia="zh-CN" w:bidi="ar"/>
        </w:rPr>
        <w:t>依据挂牌电量优先满足各发电机组剩余最小发电能力，剩余挂牌电量按各机组摘牌时间先后顺序成交。若主动参与摘牌量小于电网企业挂牌量或者无发电机组主动摘牌，则按参与市场化交易机组的剩余容量等比例分配。</w:t>
      </w:r>
    </w:p>
    <w:p>
      <w:pPr>
        <w:pageBreakBefore w:val="0"/>
        <w:widowControl/>
        <w:kinsoku/>
        <w:wordWrap/>
        <w:overflowPunct/>
        <w:topLinePunct w:val="0"/>
        <w:autoSpaceDE/>
        <w:autoSpaceDN/>
        <w:bidi w:val="0"/>
        <w:adjustRightInd/>
        <w:spacing w:line="600" w:lineRule="exact"/>
        <w:ind w:left="0" w:right="0" w:firstLine="640" w:firstLineChars="200"/>
        <w:jc w:val="both"/>
        <w:textAlignment w:val="auto"/>
        <w:rPr>
          <w:rFonts w:hint="eastAsia"/>
          <w:color w:val="auto"/>
          <w:w w:val="100"/>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5.3.6.6.2当电网企业作为卖方时，首先</w:t>
      </w:r>
      <w:r>
        <w:rPr>
          <w:rFonts w:hint="default" w:ascii="仿宋_GB2312" w:hAnsi="仿宋_GB2312" w:eastAsia="仿宋_GB2312" w:cs="仿宋_GB2312"/>
          <w:b w:val="0"/>
          <w:bCs w:val="0"/>
          <w:color w:val="auto"/>
          <w:w w:val="100"/>
          <w:kern w:val="0"/>
          <w:sz w:val="32"/>
          <w:szCs w:val="32"/>
          <w:highlight w:val="none"/>
          <w:lang w:val="en-US" w:eastAsia="zh-CN" w:bidi="ar"/>
        </w:rPr>
        <w:t>按</w:t>
      </w:r>
      <w:r>
        <w:rPr>
          <w:rFonts w:hint="eastAsia" w:ascii="仿宋_GB2312" w:hAnsi="仿宋_GB2312" w:eastAsia="仿宋_GB2312" w:cs="仿宋_GB2312"/>
          <w:b w:val="0"/>
          <w:bCs w:val="0"/>
          <w:color w:val="auto"/>
          <w:w w:val="100"/>
          <w:kern w:val="0"/>
          <w:sz w:val="32"/>
          <w:szCs w:val="32"/>
          <w:highlight w:val="none"/>
          <w:lang w:val="en-US" w:eastAsia="zh-CN" w:bidi="ar"/>
        </w:rPr>
        <w:t>各机组摘牌时间先后顺序成交。若主动参与摘牌量小于电网企业挂牌量或者无发电机组主动摘牌，则按发电机组持有的代理购电合约电量净值等比例调减。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5.3.7周集中交易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可采用集中竞价、滚动撮合、挂牌交易任意一种或多种方式开展。允许经营主体作为合约的买方或卖方单向参与周集中交易。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已完成交易平台注册且符合准入条件的发电企业、电力用户、售电公司。</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周集中交易的标的物为直接交易经营主体次周的电量。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交易中心发布周集中交易公告，内容包括但不限于：时间安排、交易组织流程、各发电企业机组交易约束条件等。</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5.3.7.4交易申报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5.3.7.4.1集中竞价交易：申报方式按【5.3.5月度集中交易】中的集中竞价交易申报方式执行，申报电量要求详见【5.2.3可申报电量约束】。如有变化，以正式发布公告为准。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5.3.7.4.2滚动撮合交易：申报方式按【5.3.5月度集中交易】中的滚动撮合交易申报方式执行，申报电量要求详见【5.2.3可申报电量约束】。如有变化，以正式发布公告为准。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5.3.7.4.3挂牌交易：申报方式按【5.3.5月度集中交易】中的挂牌交易申报方式执行，申报电量要求详见【5.2.3可申报电量约束】。如有变化，以正式发布公告为准。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5.3.7.5无约束出清</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5.3.7.5.1集中竞价交易出清：参照【5.3.5月度集中交易】中集中竞价交易出清方式。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5.3.7.5.2滚动撮合交易出清：参照【5.3.5月度集中交易】中滚动撮合交易出清方式。</w:t>
      </w:r>
    </w:p>
    <w:p>
      <w:pPr>
        <w:pageBreakBefore w:val="0"/>
        <w:widowControl/>
        <w:kinsoku/>
        <w:wordWrap/>
        <w:overflowPunct/>
        <w:topLinePunct w:val="0"/>
        <w:autoSpaceDE/>
        <w:autoSpaceDN/>
        <w:bidi w:val="0"/>
        <w:adjustRightInd/>
        <w:spacing w:line="600" w:lineRule="exact"/>
        <w:ind w:left="0" w:right="0" w:firstLine="640" w:firstLineChars="200"/>
        <w:jc w:val="both"/>
        <w:textAlignment w:val="auto"/>
        <w:rPr>
          <w:rFonts w:hint="eastAsia"/>
          <w:color w:val="auto"/>
          <w:w w:val="100"/>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5.3.7.5.3挂牌交易出清：参照【5.3.5月度集中交易】中挂牌交易出清方式。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5.3.8周电网企业代理购电挂牌交易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5.3.8.1参与的经营主体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已完成交易平台注册且符合准入条件的发电企业、电网企业（含增量配电网企业）。</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5.3.8.2交易周期及标的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周电网企业代理购电挂牌交易的标的物为电网企业代理购电次周的电量。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5.3.8.3交易公告发布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交易中心发布周挂牌交易公告，内容包括但不限于：时间安排、挂牌电量、挂牌价格、各发电企业机组交易约束条件等事项。</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color w:val="auto"/>
          <w:sz w:val="32"/>
          <w:szCs w:val="32"/>
          <w:highlight w:val="none"/>
          <w:lang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5.3.8.4挂牌</w:t>
      </w:r>
      <w:r>
        <w:rPr>
          <w:rFonts w:hint="eastAsia" w:ascii="仿宋_GB2312" w:hAnsi="仿宋_GB2312" w:eastAsia="仿宋_GB2312" w:cs="仿宋_GB2312"/>
          <w:color w:val="auto"/>
          <w:sz w:val="32"/>
          <w:szCs w:val="32"/>
          <w:highlight w:val="none"/>
          <w:lang w:eastAsia="zh-CN" w:bidi="ar"/>
        </w:rPr>
        <w:t>价格</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color w:val="auto"/>
          <w:sz w:val="32"/>
          <w:szCs w:val="32"/>
          <w:highlight w:val="none"/>
          <w:lang w:eastAsia="zh-CN" w:bidi="ar"/>
        </w:rPr>
        <w:t>周电网企业代理购电挂牌交易价格按照月度电网代理购电挂牌交易价格执行。</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5.3.8.5交易申报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周电网代理购电挂牌交易的申报参照【5.3.6月度电网代理购电挂牌交易】申报方式，申报电量要求详见【5.2.3可申报电量约束】。如有变化，以正式发布公告为准。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5.3.8.6无约束出清</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周电网企业代理购电挂牌交易出清规则按【5.3.6月度电网代理购电挂牌交易】执行。</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5.3.9多日双边协商交易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color w:val="auto"/>
          <w:w w:val="100"/>
          <w:sz w:val="32"/>
          <w:szCs w:val="32"/>
          <w:highlight w:val="none"/>
          <w:lang w:eastAsia="zh-CN" w:bidi="ar"/>
        </w:rPr>
      </w:pPr>
      <w:r>
        <w:rPr>
          <w:rFonts w:hint="eastAsia" w:ascii="仿宋_GB2312" w:hAnsi="仿宋_GB2312" w:eastAsia="仿宋_GB2312" w:cs="仿宋_GB2312"/>
          <w:color w:val="auto"/>
          <w:w w:val="100"/>
          <w:sz w:val="32"/>
          <w:szCs w:val="32"/>
          <w:highlight w:val="none"/>
          <w:lang w:eastAsia="zh-CN" w:bidi="ar"/>
        </w:rPr>
        <w:t>允许经营主体作为合约的买方或卖方单向参与多日</w:t>
      </w:r>
      <w:r>
        <w:rPr>
          <w:rFonts w:hint="eastAsia" w:ascii="仿宋_GB2312" w:hAnsi="仿宋_GB2312" w:eastAsia="仿宋_GB2312" w:cs="仿宋_GB2312"/>
          <w:color w:val="auto"/>
          <w:w w:val="100"/>
          <w:sz w:val="32"/>
          <w:szCs w:val="32"/>
          <w:highlight w:val="none"/>
          <w:lang w:val="en-US" w:eastAsia="zh-CN" w:bidi="ar"/>
        </w:rPr>
        <w:t>双边协商</w:t>
      </w:r>
      <w:r>
        <w:rPr>
          <w:rFonts w:hint="eastAsia" w:ascii="仿宋_GB2312" w:hAnsi="仿宋_GB2312" w:eastAsia="仿宋_GB2312" w:cs="仿宋_GB2312"/>
          <w:color w:val="auto"/>
          <w:w w:val="100"/>
          <w:sz w:val="32"/>
          <w:szCs w:val="32"/>
          <w:highlight w:val="none"/>
          <w:lang w:eastAsia="zh-CN" w:bidi="ar"/>
        </w:rPr>
        <w:t>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5.3.9.1参与的经营主体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已完成交易平台注册且符合准入条件的发电企业、电力用户、售电公司。</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5.3.9.2交易周期及标的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多日双边协商交易的标的物可为日或日内部分时段电量，具体以海南电力交易中心发布公告为准。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5.3.9.3交易公告发布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交易中心发布多日双边协商交易公告，内容包括但不限于：时间安排、交易组织流程、各发电企业机组交易约束条件等。</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5.3.9.4交易申报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经营主体自主协商确定电量和价格后，采用自定义或典型曲线，将电量分解到日、小时，由任意一方在交易平台中发起申报，另一方在时间节点前进行确认后达成交易意向，未在节点前确认的视为未成交。</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5.3.10多日集中交易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可采用集中竞价、滚动撮合、挂牌交易任意一种或多种方式开展。允许经营主体作为合约的买方或卖方单向参与多日集中交易。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5.3.10.1参与的经营主体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已完成交易平台注册且符合准入条件的发电企业、电力用户、售电公司。</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5.3.10.2交易周期及标的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多日集中交易的标的物可为日或日内部分时段电量，具体以海南电力交易中心发布公告为准。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5.3.10.3交易公告发布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交易中心发布多日集中交易公告，内容包括但不限于：时间安排、交易组织流程、各发电企业机组交易约束条件等。</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5.3.10.4交易申报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5.3.10.4.1集中竞价交易：申报方式按【5.3.5月度集中交易】中的集中竞价交易申报方式执行，申报电量要求详见【5.2.3可申报电量约束】。如有变化，以正式发布公告为准。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5.3.10.4.2滚动撮合交易：申报方式按【5.3.5月度集中交易】中的滚动撮合交易申报方式执行，申报电量要求详见【5.2.3可申报电量约束】。如有变化，以正式发布公告为准。</w:t>
      </w:r>
    </w:p>
    <w:p>
      <w:pPr>
        <w:pageBreakBefore w:val="0"/>
        <w:widowControl/>
        <w:kinsoku/>
        <w:wordWrap/>
        <w:overflowPunct/>
        <w:topLinePunct w:val="0"/>
        <w:autoSpaceDE/>
        <w:autoSpaceDN/>
        <w:bidi w:val="0"/>
        <w:adjustRightInd/>
        <w:spacing w:line="600" w:lineRule="exact"/>
        <w:ind w:left="0" w:right="0" w:firstLine="640" w:firstLineChars="200"/>
        <w:jc w:val="both"/>
        <w:textAlignment w:val="auto"/>
        <w:rPr>
          <w:rFonts w:hint="eastAsia" w:ascii="仿宋_GB2312" w:hAnsi="仿宋_GB2312" w:eastAsia="仿宋_GB2312" w:cs="仿宋_GB2312"/>
          <w:color w:val="auto"/>
          <w:w w:val="10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5.3.10.4.3挂牌交易：申报方式按【5.3.5月度集中交易】中的挂牌交易申报方式执行，申报电量要求详见【5.2.3可申报电量约束】。如有变化，以正式发布公告为准。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5.3.10.5无约束出清</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5.3.10.5.1集中竞价交易出清：参照【5.3.5月度集中交易】中集中竞价交易出清方式。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5.3.10.5.2滚动撮合交易出清：参照【5.3.5月度集中交易】中滚动撮合交易出清方式。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5.3.10.5.2挂牌交易出清：参照【5.3.5月度集中交易】中挂牌交易出清方式。</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2"/>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5.3.11多日电网企业代理购电挂牌交易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5.4.11.1参与的经营主体</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已完成交易平台注册且符合准入条件的发电企业、电网企业（含增量配电网企业）。</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5.3.11.2交易周期及标的</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多日电网企业代理购电挂牌交易的标的物为电网企业代理购电日或日内部分时段电量，具体以海南电力交易中心发布的公告为准。</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5.3.11.3交易公告发布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交易中心发布多日电网企业代理购电挂牌交易公告，内容包括但不限于：时间安排、申报价格、各发电企业机组交易约束条件等事项。</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color w:val="auto"/>
          <w:sz w:val="32"/>
          <w:szCs w:val="32"/>
          <w:highlight w:val="none"/>
          <w:lang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5.3.11.4</w:t>
      </w:r>
      <w:r>
        <w:rPr>
          <w:rFonts w:hint="eastAsia" w:ascii="仿宋_GB2312" w:hAnsi="仿宋_GB2312" w:eastAsia="仿宋_GB2312" w:cs="仿宋_GB2312"/>
          <w:color w:val="auto"/>
          <w:sz w:val="32"/>
          <w:szCs w:val="32"/>
          <w:highlight w:val="none"/>
          <w:lang w:eastAsia="zh-CN" w:bidi="ar"/>
        </w:rPr>
        <w:t>交易价格</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color w:val="auto"/>
          <w:sz w:val="32"/>
          <w:szCs w:val="32"/>
          <w:highlight w:val="none"/>
          <w:lang w:val="en-US" w:eastAsia="zh-CN" w:bidi="ar"/>
        </w:rPr>
        <w:t>多日</w:t>
      </w:r>
      <w:r>
        <w:rPr>
          <w:rFonts w:hint="eastAsia" w:ascii="仿宋_GB2312" w:hAnsi="仿宋_GB2312" w:eastAsia="仿宋_GB2312" w:cs="仿宋_GB2312"/>
          <w:color w:val="auto"/>
          <w:sz w:val="32"/>
          <w:szCs w:val="32"/>
          <w:highlight w:val="none"/>
          <w:lang w:eastAsia="zh-CN" w:bidi="ar"/>
        </w:rPr>
        <w:t>电网企业代理购电挂牌交易价格按照月度电网代理购电挂牌交易价格执行。</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5.3.11.5交易申报</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 xml:space="preserve">多日电网企业代理购电挂牌交易的申报参照【5.3.6月度电网代理购电挂牌交易】申报方式，申报电量要求详见【5.2.3可申报电量约束】。如有变化，以正式发布公告为准。  </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outlineLvl w:val="3"/>
        <w:rPr>
          <w:rFonts w:hint="eastAsia" w:ascii="仿宋_GB2312" w:hAnsi="仿宋_GB2312" w:eastAsia="仿宋_GB2312" w:cs="仿宋_GB2312"/>
          <w:b w:val="0"/>
          <w:bCs w:val="0"/>
          <w:color w:val="auto"/>
          <w:w w:val="100"/>
          <w:sz w:val="32"/>
          <w:szCs w:val="32"/>
          <w:highlight w:val="none"/>
        </w:rPr>
      </w:pPr>
      <w:r>
        <w:rPr>
          <w:rFonts w:hint="eastAsia" w:ascii="仿宋_GB2312" w:hAnsi="仿宋_GB2312" w:eastAsia="仿宋_GB2312" w:cs="仿宋_GB2312"/>
          <w:b w:val="0"/>
          <w:bCs w:val="0"/>
          <w:color w:val="auto"/>
          <w:w w:val="100"/>
          <w:kern w:val="0"/>
          <w:sz w:val="32"/>
          <w:szCs w:val="32"/>
          <w:highlight w:val="none"/>
          <w:lang w:val="en-US" w:eastAsia="zh-CN" w:bidi="ar"/>
        </w:rPr>
        <w:t>5.3.11.6无约束出清</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_GB2312" w:hAnsi="仿宋_GB2312" w:eastAsia="仿宋_GB2312" w:cs="仿宋_GB2312"/>
          <w:b w:val="0"/>
          <w:bCs w:val="0"/>
          <w:color w:val="auto"/>
          <w:w w:val="100"/>
          <w:kern w:val="0"/>
          <w:sz w:val="32"/>
          <w:szCs w:val="32"/>
          <w:highlight w:val="none"/>
          <w:lang w:val="en-US" w:eastAsia="zh-CN" w:bidi="ar"/>
        </w:rPr>
      </w:pPr>
      <w:r>
        <w:rPr>
          <w:rFonts w:hint="eastAsia" w:ascii="仿宋_GB2312" w:hAnsi="仿宋_GB2312" w:eastAsia="仿宋_GB2312" w:cs="仿宋_GB2312"/>
          <w:b w:val="0"/>
          <w:bCs w:val="0"/>
          <w:color w:val="auto"/>
          <w:w w:val="100"/>
          <w:kern w:val="0"/>
          <w:sz w:val="32"/>
          <w:szCs w:val="32"/>
          <w:highlight w:val="none"/>
          <w:lang w:val="en-US" w:eastAsia="zh-CN" w:bidi="ar"/>
        </w:rPr>
        <w:t>多日电网企业代理购电挂牌交易出清规则按【5.3.6月度电网代理购电挂牌交易】执行。</w:t>
      </w:r>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19" w:name="_Toc29775"/>
      <w:r>
        <w:rPr>
          <w:rFonts w:hint="eastAsia" w:ascii="黑体" w:hAnsi="黑体" w:eastAsia="黑体" w:cs="黑体"/>
          <w:b w:val="0"/>
          <w:bCs w:val="0"/>
          <w:color w:val="auto"/>
          <w:w w:val="100"/>
          <w:highlight w:val="none"/>
          <w:lang w:eastAsia="zh-CN"/>
        </w:rPr>
        <w:t>6.交易计划校核</w:t>
      </w:r>
      <w:bookmarkEnd w:id="19"/>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9"/>
        <w:rPr>
          <w:rFonts w:ascii="仿宋_GB2312" w:hAnsi="仿宋_GB2312" w:eastAsia="仿宋_GB2312" w:cs="仿宋_GB2312"/>
          <w:b/>
          <w:bCs/>
          <w:color w:val="auto"/>
          <w:w w:val="100"/>
          <w:highlight w:val="none"/>
          <w:lang w:eastAsia="zh-CN"/>
        </w:rPr>
      </w:pPr>
      <w:r>
        <w:rPr>
          <w:rFonts w:hint="eastAsia" w:ascii="仿宋_GB2312" w:hAnsi="仿宋_GB2312" w:eastAsia="仿宋_GB2312" w:cs="仿宋_GB2312"/>
          <w:b w:val="0"/>
          <w:bCs w:val="0"/>
          <w:color w:val="auto"/>
          <w:w w:val="100"/>
          <w:highlight w:val="none"/>
          <w:lang w:eastAsia="zh-CN"/>
        </w:rPr>
        <w:t>交易计划校核内容</w:t>
      </w:r>
      <w:r>
        <w:rPr>
          <w:rFonts w:hint="eastAsia" w:ascii="仿宋_GB2312" w:hAnsi="仿宋_GB2312" w:eastAsia="仿宋_GB2312" w:cs="仿宋_GB2312"/>
          <w:color w:val="auto"/>
          <w:w w:val="100"/>
          <w:highlight w:val="none"/>
          <w:lang w:eastAsia="zh-CN"/>
        </w:rPr>
        <w:t>按【5.2交易约束条件】要求执行。</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2"/>
        <w:rPr>
          <w:rFonts w:hint="eastAsia" w:ascii="仿宋_GB2312" w:hAnsi="仿宋_GB2312" w:eastAsia="仿宋_GB2312" w:cs="仿宋_GB2312"/>
          <w:color w:val="auto"/>
          <w:w w:val="100"/>
          <w:highlight w:val="none"/>
          <w:lang w:eastAsia="zh-CN"/>
        </w:rPr>
      </w:pP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kern w:val="44"/>
          <w:sz w:val="32"/>
          <w:szCs w:val="32"/>
          <w:highlight w:val="none"/>
          <w:lang w:eastAsia="zh-CN"/>
        </w:rPr>
      </w:pPr>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20" w:name="_Toc12838"/>
      <w:r>
        <w:rPr>
          <w:rFonts w:hint="eastAsia" w:ascii="黑体" w:hAnsi="黑体" w:eastAsia="黑体" w:cs="黑体"/>
          <w:b w:val="0"/>
          <w:bCs w:val="0"/>
          <w:color w:val="auto"/>
          <w:w w:val="100"/>
          <w:highlight w:val="none"/>
          <w:lang w:eastAsia="zh-CN"/>
        </w:rPr>
        <w:t>7.交易执行</w:t>
      </w:r>
      <w:bookmarkEnd w:id="20"/>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ascii="仿宋_GB2312" w:hAnsi="仿宋_GB2312" w:eastAsia="仿宋_GB2312" w:cs="仿宋_GB2312"/>
          <w:color w:val="auto"/>
          <w:spacing w:val="1"/>
          <w:w w:val="100"/>
          <w:highlight w:val="none"/>
          <w:lang w:eastAsia="zh-CN"/>
        </w:rPr>
      </w:pPr>
      <w:r>
        <w:rPr>
          <w:rFonts w:hint="eastAsia" w:ascii="仿宋_GB2312" w:hAnsi="仿宋_GB2312" w:eastAsia="仿宋_GB2312" w:cs="仿宋_GB2312"/>
          <w:color w:val="auto"/>
          <w:w w:val="100"/>
          <w:highlight w:val="none"/>
          <w:lang w:eastAsia="zh-CN"/>
        </w:rPr>
        <w:t>7.1</w:t>
      </w:r>
      <w:r>
        <w:rPr>
          <w:rFonts w:hint="eastAsia" w:ascii="仿宋_GB2312" w:hAnsi="仿宋_GB2312" w:eastAsia="仿宋_GB2312" w:cs="仿宋_GB2312"/>
          <w:color w:val="auto"/>
          <w:spacing w:val="1"/>
          <w:w w:val="100"/>
          <w:highlight w:val="none"/>
          <w:lang w:eastAsia="zh-CN"/>
        </w:rPr>
        <w:t>合同签订</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7.1.1海南电力交易中心将交易系统出具的入市协议、交易公告、交易结果通知书等视同为电子合同。电子合同与纸质合同具备同等效力。</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7.1.2交易合同应明确买方、卖方、输电方、电量（电力）、电价、执行周期、电量分时曲线、结算参考点等内容。</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7.2交易计划与执行</w:t>
      </w:r>
    </w:p>
    <w:p>
      <w:pPr>
        <w:pStyle w:val="7"/>
        <w:keepNext w:val="0"/>
        <w:keepLines w:val="0"/>
        <w:pageBreakBefore w:val="0"/>
        <w:widowControl w:val="0"/>
        <w:numPr>
          <w:ilvl w:val="255"/>
          <w:numId w:val="0"/>
        </w:numPr>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因实际供需发生较大变化、电力系统遭受自然灾害、主设备故障停运、输电阻塞等紧急情况</w:t>
      </w:r>
      <w:r>
        <w:rPr>
          <w:rFonts w:hint="eastAsia" w:ascii="仿宋_GB2312" w:hAnsi="仿宋_GB2312" w:eastAsia="仿宋_GB2312" w:cs="仿宋_GB2312"/>
          <w:color w:val="auto"/>
          <w:w w:val="100"/>
          <w:highlight w:val="none"/>
          <w:lang w:val="en-US" w:eastAsia="zh-CN"/>
        </w:rPr>
        <w:t>需进行市场干预</w:t>
      </w:r>
      <w:r>
        <w:rPr>
          <w:rFonts w:hint="eastAsia" w:ascii="仿宋_GB2312" w:hAnsi="仿宋_GB2312" w:eastAsia="仿宋_GB2312" w:cs="仿宋_GB2312"/>
          <w:color w:val="auto"/>
          <w:w w:val="100"/>
          <w:highlight w:val="none"/>
          <w:lang w:eastAsia="zh-CN"/>
        </w:rPr>
        <w:t>时，电力调度机构应做好记录，包括</w:t>
      </w:r>
      <w:r>
        <w:rPr>
          <w:rFonts w:hint="eastAsia" w:ascii="仿宋_GB2312" w:hAnsi="仿宋_GB2312" w:eastAsia="仿宋_GB2312" w:cs="仿宋_GB2312"/>
          <w:color w:val="auto"/>
          <w:w w:val="100"/>
          <w:highlight w:val="none"/>
          <w:lang w:val="en-US" w:eastAsia="zh-CN"/>
        </w:rPr>
        <w:t>干预时间、干预主体、干预操作和干预原因</w:t>
      </w:r>
      <w:r>
        <w:rPr>
          <w:rFonts w:hint="eastAsia" w:ascii="仿宋_GB2312" w:hAnsi="仿宋_GB2312" w:eastAsia="仿宋_GB2312" w:cs="仿宋_GB2312"/>
          <w:color w:val="auto"/>
          <w:w w:val="100"/>
          <w:highlight w:val="none"/>
          <w:lang w:eastAsia="zh-CN"/>
        </w:rPr>
        <w:t>，并按</w:t>
      </w:r>
      <w:r>
        <w:rPr>
          <w:rFonts w:hint="eastAsia" w:ascii="仿宋_GB2312" w:hAnsi="仿宋_GB2312" w:eastAsia="仿宋_GB2312" w:cs="仿宋_GB2312"/>
          <w:color w:val="auto"/>
          <w:w w:val="100"/>
          <w:highlight w:val="none"/>
          <w:lang w:val="en-US" w:eastAsia="zh-CN"/>
        </w:rPr>
        <w:t>信息披露实施细则有关规定开展</w:t>
      </w:r>
      <w:r>
        <w:rPr>
          <w:rFonts w:hint="eastAsia" w:ascii="仿宋_GB2312" w:hAnsi="仿宋_GB2312" w:eastAsia="仿宋_GB2312" w:cs="仿宋_GB2312"/>
          <w:color w:val="auto"/>
          <w:w w:val="100"/>
          <w:highlight w:val="none"/>
          <w:lang w:eastAsia="zh-CN"/>
        </w:rPr>
        <w:t>。</w:t>
      </w:r>
    </w:p>
    <w:p>
      <w:pPr>
        <w:pStyle w:val="7"/>
        <w:pageBreakBefore w:val="0"/>
        <w:tabs>
          <w:tab w:val="left" w:pos="1380"/>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21" w:name="_Toc22335"/>
      <w:r>
        <w:rPr>
          <w:rFonts w:hint="eastAsia" w:ascii="黑体" w:hAnsi="黑体" w:eastAsia="黑体" w:cs="黑体"/>
          <w:b w:val="0"/>
          <w:bCs w:val="0"/>
          <w:color w:val="auto"/>
          <w:w w:val="100"/>
          <w:highlight w:val="none"/>
          <w:lang w:eastAsia="zh-CN"/>
        </w:rPr>
        <w:t>8.特殊情况处理</w:t>
      </w:r>
      <w:bookmarkEnd w:id="21"/>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8.1 若现货市场中止且短期内可恢复，则继续按照本细则组织现货环境下的中长期电能量交易。</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8.</w:t>
      </w:r>
      <w:r>
        <w:rPr>
          <w:rFonts w:hint="eastAsia" w:ascii="仿宋_GB2312" w:hAnsi="仿宋_GB2312" w:eastAsia="仿宋_GB2312" w:cs="仿宋_GB2312"/>
          <w:color w:val="auto"/>
          <w:w w:val="100"/>
          <w:highlight w:val="none"/>
          <w:lang w:val="en-US" w:eastAsia="zh-CN"/>
        </w:rPr>
        <w:t>2</w:t>
      </w:r>
      <w:r>
        <w:rPr>
          <w:rFonts w:hint="eastAsia" w:ascii="仿宋_GB2312" w:hAnsi="仿宋_GB2312" w:eastAsia="仿宋_GB2312" w:cs="仿宋_GB2312"/>
          <w:color w:val="auto"/>
          <w:w w:val="100"/>
          <w:highlight w:val="none"/>
          <w:lang w:eastAsia="zh-CN"/>
        </w:rPr>
        <w:t xml:space="preserve"> 若现货市场中止且短期内无法恢复，按以下原则处理：中止当月，现货中止前按照本规则开展中长期交易组织，中止后转按非现货环境下的中长期交易规则开展当月交易组织；后续月份不再按照本细则组织现货环境下的中长期电能量交易，转按非现货环境下的电力中长期交易规则执行，直至现货市场恢复。</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val="en-US" w:eastAsia="zh-CN"/>
        </w:rPr>
        <w:t>8.3若中长期</w:t>
      </w:r>
      <w:r>
        <w:rPr>
          <w:rFonts w:hint="eastAsia" w:ascii="仿宋_GB2312" w:hAnsi="仿宋_GB2312" w:eastAsia="仿宋_GB2312" w:cs="仿宋_GB2312"/>
          <w:color w:val="auto"/>
          <w:w w:val="100"/>
          <w:highlight w:val="none"/>
          <w:lang w:eastAsia="zh-CN"/>
        </w:rPr>
        <w:t>市场运行过程中出现如下情况时，</w:t>
      </w:r>
      <w:r>
        <w:rPr>
          <w:rFonts w:hint="eastAsia" w:ascii="仿宋_GB2312" w:hAnsi="仿宋_GB2312" w:eastAsia="仿宋_GB2312" w:cs="仿宋_GB2312"/>
          <w:color w:val="auto"/>
          <w:w w:val="100"/>
          <w:highlight w:val="none"/>
          <w:lang w:val="en-US" w:eastAsia="zh-CN"/>
        </w:rPr>
        <w:t>且相关干预</w:t>
      </w:r>
      <w:r>
        <w:rPr>
          <w:rFonts w:hint="eastAsia" w:ascii="仿宋_GB2312" w:hAnsi="仿宋_GB2312" w:eastAsia="仿宋_GB2312" w:cs="仿宋_GB2312"/>
          <w:color w:val="auto"/>
          <w:w w:val="100"/>
          <w:highlight w:val="none"/>
          <w:lang w:eastAsia="zh-CN"/>
        </w:rPr>
        <w:t>措施</w:t>
      </w:r>
      <w:r>
        <w:rPr>
          <w:rFonts w:hint="eastAsia" w:ascii="仿宋_GB2312" w:hAnsi="仿宋_GB2312" w:eastAsia="仿宋_GB2312" w:cs="仿宋_GB2312"/>
          <w:color w:val="auto"/>
          <w:w w:val="100"/>
          <w:highlight w:val="none"/>
          <w:lang w:val="en-US" w:eastAsia="zh-CN"/>
        </w:rPr>
        <w:t>和应急预案</w:t>
      </w:r>
      <w:r>
        <w:rPr>
          <w:rFonts w:hint="eastAsia" w:ascii="仿宋_GB2312" w:hAnsi="仿宋_GB2312" w:eastAsia="仿宋_GB2312" w:cs="仿宋_GB2312"/>
          <w:color w:val="auto"/>
          <w:w w:val="100"/>
          <w:highlight w:val="none"/>
          <w:lang w:eastAsia="zh-CN"/>
        </w:rPr>
        <w:t>不足以将市场恢复到正常运行状态由</w:t>
      </w:r>
      <w:r>
        <w:rPr>
          <w:rFonts w:hint="eastAsia" w:ascii="仿宋_GB2312" w:hAnsi="仿宋_GB2312" w:eastAsia="仿宋_GB2312" w:cs="仿宋_GB2312"/>
          <w:color w:val="auto"/>
          <w:w w:val="100"/>
          <w:highlight w:val="none"/>
          <w:lang w:val="en-US" w:eastAsia="zh-CN"/>
        </w:rPr>
        <w:t>国家能源局南方监管局</w:t>
      </w:r>
      <w:r>
        <w:rPr>
          <w:rFonts w:hint="eastAsia" w:ascii="仿宋_GB2312" w:hAnsi="仿宋_GB2312" w:eastAsia="仿宋_GB2312" w:cs="仿宋_GB2312"/>
          <w:color w:val="auto"/>
          <w:w w:val="100"/>
          <w:highlight w:val="none"/>
          <w:lang w:eastAsia="zh-CN"/>
        </w:rPr>
        <w:t>、省级</w:t>
      </w:r>
      <w:r>
        <w:rPr>
          <w:rFonts w:hint="eastAsia" w:ascii="仿宋_GB2312" w:hAnsi="仿宋_GB2312" w:eastAsia="仿宋_GB2312" w:cs="仿宋_GB2312"/>
          <w:color w:val="auto"/>
          <w:w w:val="100"/>
          <w:highlight w:val="none"/>
          <w:lang w:val="en-US" w:eastAsia="zh-CN"/>
        </w:rPr>
        <w:t>能源</w:t>
      </w:r>
      <w:r>
        <w:rPr>
          <w:rFonts w:hint="eastAsia" w:ascii="仿宋_GB2312" w:hAnsi="仿宋_GB2312" w:eastAsia="仿宋_GB2312" w:cs="仿宋_GB2312"/>
          <w:color w:val="auto"/>
          <w:w w:val="100"/>
          <w:highlight w:val="none"/>
          <w:lang w:eastAsia="zh-CN"/>
        </w:rPr>
        <w:t>主管部门做出市场中止决定，并委托</w:t>
      </w:r>
      <w:r>
        <w:rPr>
          <w:rFonts w:hint="eastAsia" w:ascii="仿宋_GB2312" w:hAnsi="仿宋_GB2312" w:eastAsia="仿宋_GB2312" w:cs="仿宋_GB2312"/>
          <w:color w:val="auto"/>
          <w:w w:val="100"/>
          <w:highlight w:val="none"/>
          <w:lang w:val="en-US" w:eastAsia="zh-CN"/>
        </w:rPr>
        <w:t>交易中心</w:t>
      </w:r>
      <w:r>
        <w:rPr>
          <w:rFonts w:hint="eastAsia" w:ascii="仿宋_GB2312" w:hAnsi="仿宋_GB2312" w:eastAsia="仿宋_GB2312" w:cs="仿宋_GB2312"/>
          <w:color w:val="auto"/>
          <w:w w:val="100"/>
          <w:highlight w:val="none"/>
          <w:lang w:eastAsia="zh-CN"/>
        </w:rPr>
        <w:t>实施。</w:t>
      </w:r>
      <w:r>
        <w:rPr>
          <w:rFonts w:hint="eastAsia" w:ascii="仿宋_GB2312" w:hAnsi="仿宋_GB2312" w:eastAsia="仿宋_GB2312" w:cs="仿宋_GB2312"/>
          <w:color w:val="auto"/>
          <w:w w:val="100"/>
          <w:highlight w:val="none"/>
          <w:lang w:val="en-US" w:eastAsia="zh-CN"/>
        </w:rPr>
        <w:t>交易中心</w:t>
      </w:r>
      <w:r>
        <w:rPr>
          <w:rFonts w:hint="eastAsia" w:ascii="仿宋_GB2312" w:hAnsi="仿宋_GB2312" w:eastAsia="仿宋_GB2312" w:cs="仿宋_GB2312"/>
          <w:color w:val="auto"/>
          <w:w w:val="100"/>
          <w:highlight w:val="none"/>
          <w:lang w:eastAsia="zh-CN"/>
        </w:rPr>
        <w:t>应立即发布市场中止声明。突发情况时，</w:t>
      </w:r>
      <w:r>
        <w:rPr>
          <w:rFonts w:hint="eastAsia" w:ascii="仿宋_GB2312" w:hAnsi="仿宋_GB2312" w:eastAsia="仿宋_GB2312" w:cs="仿宋_GB2312"/>
          <w:color w:val="auto"/>
          <w:w w:val="100"/>
          <w:highlight w:val="none"/>
          <w:lang w:val="en-US" w:eastAsia="zh-CN"/>
        </w:rPr>
        <w:t>交易中心</w:t>
      </w:r>
      <w:r>
        <w:rPr>
          <w:rFonts w:hint="eastAsia" w:ascii="仿宋_GB2312" w:hAnsi="仿宋_GB2312" w:eastAsia="仿宋_GB2312" w:cs="仿宋_GB2312"/>
          <w:color w:val="auto"/>
          <w:w w:val="100"/>
          <w:highlight w:val="none"/>
          <w:lang w:eastAsia="zh-CN"/>
        </w:rPr>
        <w:t>可按规定进行市场干预，并做好相关记录，事后由</w:t>
      </w:r>
      <w:r>
        <w:rPr>
          <w:rFonts w:hint="eastAsia" w:ascii="仿宋_GB2312" w:hAnsi="仿宋_GB2312" w:eastAsia="仿宋_GB2312" w:cs="仿宋_GB2312"/>
          <w:color w:val="auto"/>
          <w:w w:val="100"/>
          <w:highlight w:val="none"/>
          <w:lang w:val="en-US" w:eastAsia="zh-CN"/>
        </w:rPr>
        <w:t>国家能源局南方监管局</w:t>
      </w:r>
      <w:r>
        <w:rPr>
          <w:rFonts w:hint="eastAsia" w:ascii="仿宋_GB2312" w:hAnsi="仿宋_GB2312" w:eastAsia="仿宋_GB2312" w:cs="仿宋_GB2312"/>
          <w:color w:val="auto"/>
          <w:w w:val="100"/>
          <w:highlight w:val="none"/>
          <w:lang w:eastAsia="zh-CN"/>
        </w:rPr>
        <w:t>、省级</w:t>
      </w:r>
      <w:r>
        <w:rPr>
          <w:rFonts w:hint="eastAsia" w:ascii="仿宋_GB2312" w:hAnsi="仿宋_GB2312" w:eastAsia="仿宋_GB2312" w:cs="仿宋_GB2312"/>
          <w:color w:val="auto"/>
          <w:w w:val="100"/>
          <w:highlight w:val="none"/>
          <w:lang w:val="en-US" w:eastAsia="zh-CN"/>
        </w:rPr>
        <w:t>能源</w:t>
      </w:r>
      <w:r>
        <w:rPr>
          <w:rFonts w:hint="eastAsia" w:ascii="仿宋_GB2312" w:hAnsi="仿宋_GB2312" w:eastAsia="仿宋_GB2312" w:cs="仿宋_GB2312"/>
          <w:color w:val="auto"/>
          <w:w w:val="100"/>
          <w:highlight w:val="none"/>
          <w:lang w:eastAsia="zh-CN"/>
        </w:rPr>
        <w:t>主管部门做出是否中止市场的决定并发布：</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（一）电力系统发生故障导致网络拓扑发生重大变化，或当电网整体、局部发生稳定破坏，严重危及电网安全时。</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（二）因重大自然灾害、突发事件等原因导致电网运行安全风险较大时。</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（三）电力市场技术支持系统发生重大故障，导致无法按照市场规则进行出清时。</w:t>
      </w:r>
    </w:p>
    <w:p>
      <w:pPr>
        <w:pStyle w:val="7"/>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（四）其他认为需要</w:t>
      </w:r>
      <w:r>
        <w:rPr>
          <w:rFonts w:hint="eastAsia" w:ascii="仿宋_GB2312" w:hAnsi="仿宋_GB2312" w:eastAsia="仿宋_GB2312" w:cs="仿宋_GB2312"/>
          <w:color w:val="auto"/>
          <w:w w:val="100"/>
          <w:highlight w:val="none"/>
          <w:lang w:val="en-US" w:eastAsia="zh-CN"/>
        </w:rPr>
        <w:t>中止中长期</w:t>
      </w:r>
      <w:r>
        <w:rPr>
          <w:rFonts w:hint="eastAsia" w:ascii="仿宋_GB2312" w:hAnsi="仿宋_GB2312" w:eastAsia="仿宋_GB2312" w:cs="仿宋_GB2312"/>
          <w:color w:val="auto"/>
          <w:w w:val="100"/>
          <w:highlight w:val="none"/>
          <w:lang w:eastAsia="zh-CN"/>
        </w:rPr>
        <w:t>市场的情形。</w:t>
      </w:r>
    </w:p>
    <w:p>
      <w:pPr>
        <w:pStyle w:val="7"/>
        <w:pageBreakBefore w:val="0"/>
        <w:tabs>
          <w:tab w:val="left" w:pos="1380"/>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22" w:name="_Toc18120"/>
      <w:r>
        <w:rPr>
          <w:rFonts w:hint="eastAsia" w:ascii="黑体" w:hAnsi="黑体" w:eastAsia="黑体" w:cs="黑体"/>
          <w:b w:val="0"/>
          <w:bCs w:val="0"/>
          <w:color w:val="auto"/>
          <w:w w:val="100"/>
          <w:highlight w:val="none"/>
          <w:lang w:eastAsia="zh-CN"/>
        </w:rPr>
        <w:t>9.附则</w:t>
      </w:r>
      <w:bookmarkEnd w:id="22"/>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9.1</w:t>
      </w:r>
      <w:r>
        <w:rPr>
          <w:rFonts w:hint="eastAsia" w:ascii="仿宋_GB2312" w:hAnsi="仿宋_GB2312" w:eastAsia="仿宋_GB2312" w:cs="仿宋_GB2312"/>
          <w:color w:val="auto"/>
          <w:w w:val="100"/>
          <w:highlight w:val="none"/>
          <w:lang w:val="en-US" w:eastAsia="zh-CN"/>
        </w:rPr>
        <w:t>本实施细则自印发之日起生效，与国家最新的政策、文件规定不符的，从其规定</w:t>
      </w:r>
      <w:r>
        <w:rPr>
          <w:rFonts w:hint="eastAsia" w:ascii="仿宋_GB2312" w:hAnsi="仿宋_GB2312" w:eastAsia="仿宋_GB2312" w:cs="仿宋_GB2312"/>
          <w:color w:val="auto"/>
          <w:w w:val="100"/>
          <w:highlight w:val="none"/>
          <w:lang w:eastAsia="zh-CN"/>
        </w:rPr>
        <w:t>。</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outlineLvl w:val="1"/>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9.</w:t>
      </w:r>
      <w:r>
        <w:rPr>
          <w:rFonts w:hint="eastAsia" w:ascii="仿宋_GB2312" w:hAnsi="仿宋_GB2312" w:eastAsia="仿宋_GB2312" w:cs="仿宋_GB2312"/>
          <w:color w:val="auto"/>
          <w:w w:val="100"/>
          <w:highlight w:val="none"/>
          <w:lang w:val="en-US" w:eastAsia="zh-CN"/>
        </w:rPr>
        <w:t>2本实施细则由海南电力交易中心制定，经海南电力市场管理委员会审议通过后，报国家能源局南方监管局和省级能源主管部门审定执行，由海南电力交易中心负责解释</w:t>
      </w:r>
      <w:r>
        <w:rPr>
          <w:rFonts w:hint="eastAsia" w:ascii="仿宋_GB2312" w:hAnsi="仿宋_GB2312" w:eastAsia="仿宋_GB2312" w:cs="仿宋_GB2312"/>
          <w:color w:val="auto"/>
          <w:w w:val="100"/>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Chars="0"/>
        <w:jc w:val="both"/>
        <w:textAlignment w:val="auto"/>
        <w:outlineLvl w:val="9"/>
        <w:rPr>
          <w:rFonts w:hint="eastAsia"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br w:type="page"/>
      </w:r>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both"/>
        <w:textAlignment w:val="auto"/>
        <w:outlineLvl w:val="0"/>
        <w:rPr>
          <w:rFonts w:hint="eastAsia" w:ascii="黑体" w:hAnsi="黑体" w:eastAsia="黑体" w:cs="黑体"/>
          <w:b w:val="0"/>
          <w:bCs w:val="0"/>
          <w:color w:val="auto"/>
          <w:w w:val="100"/>
          <w:highlight w:val="none"/>
          <w:lang w:eastAsia="zh-CN"/>
        </w:rPr>
      </w:pPr>
      <w:bookmarkStart w:id="23" w:name="_Toc11171"/>
      <w:r>
        <w:rPr>
          <w:rFonts w:hint="eastAsia" w:ascii="黑体" w:hAnsi="黑体" w:eastAsia="黑体" w:cs="黑体"/>
          <w:b w:val="0"/>
          <w:bCs w:val="0"/>
          <w:color w:val="auto"/>
          <w:w w:val="100"/>
          <w:highlight w:val="none"/>
          <w:lang w:val="en-US" w:eastAsia="zh-CN"/>
        </w:rPr>
        <w:t>附录：</w:t>
      </w:r>
      <w:bookmarkStart w:id="24" w:name="_bookmark2"/>
      <w:bookmarkEnd w:id="24"/>
      <w:bookmarkStart w:id="25" w:name="3术语定义"/>
      <w:bookmarkEnd w:id="25"/>
    </w:p>
    <w:p>
      <w:pPr>
        <w:pStyle w:val="7"/>
        <w:pageBreakBefore w:val="0"/>
        <w:tabs>
          <w:tab w:val="left" w:pos="659"/>
        </w:tabs>
        <w:kinsoku/>
        <w:wordWrap/>
        <w:overflowPunct/>
        <w:topLinePunct w:val="0"/>
        <w:autoSpaceDE/>
        <w:autoSpaceDN/>
        <w:bidi w:val="0"/>
        <w:adjustRightInd/>
        <w:spacing w:line="560" w:lineRule="exact"/>
        <w:ind w:left="0" w:right="0" w:firstLine="644" w:firstLineChars="200"/>
        <w:jc w:val="both"/>
        <w:textAlignment w:val="auto"/>
        <w:outlineLvl w:val="0"/>
        <w:rPr>
          <w:rFonts w:hint="eastAsia" w:ascii="仿宋_GB2312" w:hAnsi="仿宋_GB2312" w:eastAsia="仿宋_GB2312" w:cs="仿宋_GB2312"/>
          <w:b w:val="0"/>
          <w:bCs w:val="0"/>
          <w:color w:val="auto"/>
          <w:spacing w:val="1"/>
          <w:w w:val="100"/>
          <w:highlight w:val="none"/>
          <w:lang w:eastAsia="zh-CN"/>
        </w:rPr>
      </w:pPr>
    </w:p>
    <w:p>
      <w:pPr>
        <w:pStyle w:val="7"/>
        <w:pageBreakBefore w:val="0"/>
        <w:tabs>
          <w:tab w:val="left" w:pos="659"/>
        </w:tabs>
        <w:kinsoku/>
        <w:wordWrap/>
        <w:overflowPunct/>
        <w:topLinePunct w:val="0"/>
        <w:autoSpaceDE/>
        <w:autoSpaceDN/>
        <w:bidi w:val="0"/>
        <w:adjustRightInd/>
        <w:spacing w:line="560" w:lineRule="exact"/>
        <w:ind w:left="0" w:right="0" w:firstLine="644" w:firstLineChars="200"/>
        <w:jc w:val="center"/>
        <w:textAlignment w:val="auto"/>
        <w:outlineLvl w:val="0"/>
        <w:rPr>
          <w:rFonts w:hint="eastAsia" w:ascii="黑体" w:hAnsi="黑体" w:eastAsia="黑体" w:cs="黑体"/>
          <w:b w:val="0"/>
          <w:bCs w:val="0"/>
          <w:color w:val="auto"/>
          <w:w w:val="100"/>
          <w:highlight w:val="none"/>
          <w:lang w:eastAsia="zh-CN"/>
        </w:rPr>
      </w:pPr>
      <w:r>
        <w:rPr>
          <w:rFonts w:hint="eastAsia" w:ascii="黑体" w:hAnsi="黑体" w:eastAsia="黑体" w:cs="黑体"/>
          <w:b w:val="0"/>
          <w:bCs w:val="0"/>
          <w:color w:val="auto"/>
          <w:spacing w:val="1"/>
          <w:w w:val="100"/>
          <w:highlight w:val="none"/>
          <w:lang w:eastAsia="zh-CN"/>
        </w:rPr>
        <w:t>术语定</w:t>
      </w:r>
      <w:r>
        <w:rPr>
          <w:rFonts w:hint="eastAsia" w:ascii="黑体" w:hAnsi="黑体" w:eastAsia="黑体" w:cs="黑体"/>
          <w:b w:val="0"/>
          <w:bCs w:val="0"/>
          <w:color w:val="auto"/>
          <w:w w:val="100"/>
          <w:highlight w:val="none"/>
          <w:lang w:eastAsia="zh-CN"/>
        </w:rPr>
        <w:t>义</w:t>
      </w:r>
      <w:bookmarkEnd w:id="23"/>
    </w:p>
    <w:p>
      <w:pPr>
        <w:pStyle w:val="7"/>
        <w:pageBreakBefore w:val="0"/>
        <w:tabs>
          <w:tab w:val="left" w:pos="659"/>
        </w:tabs>
        <w:kinsoku/>
        <w:wordWrap/>
        <w:overflowPunct/>
        <w:topLinePunct w:val="0"/>
        <w:autoSpaceDE/>
        <w:autoSpaceDN/>
        <w:bidi w:val="0"/>
        <w:adjustRightInd/>
        <w:spacing w:line="560" w:lineRule="exact"/>
        <w:ind w:left="0" w:right="0" w:firstLine="640" w:firstLineChars="200"/>
        <w:jc w:val="center"/>
        <w:textAlignment w:val="auto"/>
        <w:outlineLvl w:val="0"/>
        <w:rPr>
          <w:rFonts w:hint="eastAsia" w:ascii="黑体" w:hAnsi="黑体" w:eastAsia="黑体" w:cs="黑体"/>
          <w:b w:val="0"/>
          <w:bCs w:val="0"/>
          <w:color w:val="auto"/>
          <w:w w:val="100"/>
          <w:highlight w:val="none"/>
          <w:lang w:eastAsia="zh-CN"/>
        </w:rPr>
      </w:pP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1"/>
          <w:w w:val="100"/>
          <w:highlight w:val="none"/>
          <w:lang w:eastAsia="zh-CN"/>
        </w:rPr>
        <w:t>1</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2"/>
          <w:w w:val="100"/>
          <w:highlight w:val="none"/>
          <w:lang w:eastAsia="zh-CN"/>
        </w:rPr>
        <w:t>中</w:t>
      </w:r>
      <w:r>
        <w:rPr>
          <w:rFonts w:hint="eastAsia" w:ascii="仿宋_GB2312" w:hAnsi="仿宋_GB2312" w:eastAsia="仿宋_GB2312" w:cs="仿宋_GB2312"/>
          <w:color w:val="auto"/>
          <w:w w:val="100"/>
          <w:highlight w:val="none"/>
          <w:lang w:eastAsia="zh-CN"/>
        </w:rPr>
        <w:t>长期</w:t>
      </w:r>
      <w:r>
        <w:rPr>
          <w:rFonts w:hint="eastAsia" w:ascii="仿宋_GB2312" w:hAnsi="仿宋_GB2312" w:eastAsia="仿宋_GB2312" w:cs="仿宋_GB2312"/>
          <w:color w:val="auto"/>
          <w:spacing w:val="2"/>
          <w:w w:val="100"/>
          <w:highlight w:val="none"/>
          <w:lang w:eastAsia="zh-CN"/>
        </w:rPr>
        <w:t>电</w:t>
      </w:r>
      <w:r>
        <w:rPr>
          <w:rFonts w:hint="eastAsia" w:ascii="仿宋_GB2312" w:hAnsi="仿宋_GB2312" w:eastAsia="仿宋_GB2312" w:cs="仿宋_GB2312"/>
          <w:color w:val="auto"/>
          <w:w w:val="100"/>
          <w:highlight w:val="none"/>
          <w:lang w:eastAsia="zh-CN"/>
        </w:rPr>
        <w:t>能</w:t>
      </w:r>
      <w:r>
        <w:rPr>
          <w:rFonts w:hint="eastAsia" w:ascii="仿宋_GB2312" w:hAnsi="仿宋_GB2312" w:eastAsia="仿宋_GB2312" w:cs="仿宋_GB2312"/>
          <w:color w:val="auto"/>
          <w:spacing w:val="2"/>
          <w:w w:val="100"/>
          <w:highlight w:val="none"/>
          <w:lang w:eastAsia="zh-CN"/>
        </w:rPr>
        <w:t>量</w:t>
      </w:r>
      <w:r>
        <w:rPr>
          <w:rFonts w:hint="eastAsia" w:ascii="仿宋_GB2312" w:hAnsi="仿宋_GB2312" w:eastAsia="仿宋_GB2312" w:cs="仿宋_GB2312"/>
          <w:color w:val="auto"/>
          <w:w w:val="100"/>
          <w:highlight w:val="none"/>
          <w:lang w:eastAsia="zh-CN"/>
        </w:rPr>
        <w:t>交易（简</w:t>
      </w:r>
      <w:r>
        <w:rPr>
          <w:rFonts w:hint="eastAsia" w:ascii="仿宋_GB2312" w:hAnsi="仿宋_GB2312" w:eastAsia="仿宋_GB2312" w:cs="仿宋_GB2312"/>
          <w:color w:val="auto"/>
          <w:spacing w:val="2"/>
          <w:w w:val="100"/>
          <w:highlight w:val="none"/>
          <w:lang w:eastAsia="zh-CN"/>
        </w:rPr>
        <w:t>称</w:t>
      </w:r>
      <w:r>
        <w:rPr>
          <w:rFonts w:hint="eastAsia" w:ascii="仿宋_GB2312" w:hAnsi="仿宋_GB2312" w:eastAsia="仿宋_GB2312" w:cs="仿宋_GB2312"/>
          <w:color w:val="auto"/>
          <w:w w:val="100"/>
          <w:highlight w:val="none"/>
          <w:lang w:eastAsia="zh-CN"/>
        </w:rPr>
        <w:t>中长</w:t>
      </w:r>
      <w:r>
        <w:rPr>
          <w:rFonts w:hint="eastAsia" w:ascii="仿宋_GB2312" w:hAnsi="仿宋_GB2312" w:eastAsia="仿宋_GB2312" w:cs="仿宋_GB2312"/>
          <w:color w:val="auto"/>
          <w:spacing w:val="2"/>
          <w:w w:val="100"/>
          <w:highlight w:val="none"/>
          <w:lang w:eastAsia="zh-CN"/>
        </w:rPr>
        <w:t>期</w:t>
      </w:r>
      <w:r>
        <w:rPr>
          <w:rFonts w:hint="eastAsia" w:ascii="仿宋_GB2312" w:hAnsi="仿宋_GB2312" w:eastAsia="仿宋_GB2312" w:cs="仿宋_GB2312"/>
          <w:color w:val="auto"/>
          <w:w w:val="100"/>
          <w:highlight w:val="none"/>
          <w:lang w:eastAsia="zh-CN"/>
        </w:rPr>
        <w:t>交易</w:t>
      </w:r>
      <w:r>
        <w:rPr>
          <w:rFonts w:hint="eastAsia" w:ascii="仿宋_GB2312" w:hAnsi="仿宋_GB2312" w:eastAsia="仿宋_GB2312" w:cs="仿宋_GB2312"/>
          <w:color w:val="auto"/>
          <w:spacing w:val="2"/>
          <w:w w:val="100"/>
          <w:highlight w:val="none"/>
          <w:lang w:eastAsia="zh-CN"/>
        </w:rPr>
        <w:t>）</w:t>
      </w:r>
      <w:r>
        <w:rPr>
          <w:rFonts w:hint="eastAsia" w:ascii="仿宋_GB2312" w:hAnsi="仿宋_GB2312" w:eastAsia="仿宋_GB2312" w:cs="仿宋_GB2312"/>
          <w:color w:val="auto"/>
          <w:w w:val="100"/>
          <w:highlight w:val="none"/>
          <w:lang w:eastAsia="zh-CN"/>
        </w:rPr>
        <w:t>，是指中</w:t>
      </w:r>
      <w:r>
        <w:rPr>
          <w:rFonts w:hint="eastAsia" w:ascii="仿宋_GB2312" w:hAnsi="仿宋_GB2312" w:eastAsia="仿宋_GB2312" w:cs="仿宋_GB2312"/>
          <w:color w:val="auto"/>
          <w:spacing w:val="1"/>
          <w:w w:val="100"/>
          <w:highlight w:val="none"/>
          <w:lang w:eastAsia="zh-CN"/>
        </w:rPr>
        <w:t>长</w:t>
      </w:r>
      <w:r>
        <w:rPr>
          <w:rFonts w:hint="eastAsia" w:ascii="仿宋_GB2312" w:hAnsi="仿宋_GB2312" w:eastAsia="仿宋_GB2312" w:cs="仿宋_GB2312"/>
          <w:color w:val="auto"/>
          <w:w w:val="100"/>
          <w:highlight w:val="none"/>
          <w:lang w:eastAsia="zh-CN"/>
        </w:rPr>
        <w:t>期电</w:t>
      </w:r>
      <w:r>
        <w:rPr>
          <w:rFonts w:hint="eastAsia" w:ascii="仿宋_GB2312" w:hAnsi="仿宋_GB2312" w:eastAsia="仿宋_GB2312" w:cs="仿宋_GB2312"/>
          <w:color w:val="auto"/>
          <w:spacing w:val="1"/>
          <w:w w:val="100"/>
          <w:highlight w:val="none"/>
          <w:lang w:eastAsia="zh-CN"/>
        </w:rPr>
        <w:t>能</w:t>
      </w:r>
      <w:r>
        <w:rPr>
          <w:rFonts w:hint="eastAsia" w:ascii="仿宋_GB2312" w:hAnsi="仿宋_GB2312" w:eastAsia="仿宋_GB2312" w:cs="仿宋_GB2312"/>
          <w:color w:val="auto"/>
          <w:w w:val="100"/>
          <w:highlight w:val="none"/>
          <w:lang w:eastAsia="zh-CN"/>
        </w:rPr>
        <w:t>量市</w:t>
      </w:r>
      <w:r>
        <w:rPr>
          <w:rFonts w:hint="eastAsia" w:ascii="仿宋_GB2312" w:hAnsi="仿宋_GB2312" w:eastAsia="仿宋_GB2312" w:cs="仿宋_GB2312"/>
          <w:color w:val="auto"/>
          <w:spacing w:val="-53"/>
          <w:w w:val="100"/>
          <w:highlight w:val="none"/>
          <w:lang w:eastAsia="zh-CN"/>
        </w:rPr>
        <w:t>场</w:t>
      </w:r>
      <w:r>
        <w:rPr>
          <w:rFonts w:hint="eastAsia" w:ascii="仿宋_GB2312" w:hAnsi="仿宋_GB2312" w:eastAsia="仿宋_GB2312" w:cs="仿宋_GB2312"/>
          <w:color w:val="auto"/>
          <w:w w:val="100"/>
          <w:highlight w:val="none"/>
          <w:lang w:eastAsia="zh-CN"/>
        </w:rPr>
        <w:t>（简称</w:t>
      </w:r>
      <w:r>
        <w:rPr>
          <w:rFonts w:hint="eastAsia" w:ascii="仿宋_GB2312" w:hAnsi="仿宋_GB2312" w:eastAsia="仿宋_GB2312" w:cs="仿宋_GB2312"/>
          <w:color w:val="auto"/>
          <w:spacing w:val="1"/>
          <w:w w:val="100"/>
          <w:highlight w:val="none"/>
          <w:lang w:eastAsia="zh-CN"/>
        </w:rPr>
        <w:t>中</w:t>
      </w:r>
      <w:r>
        <w:rPr>
          <w:rFonts w:hint="eastAsia" w:ascii="仿宋_GB2312" w:hAnsi="仿宋_GB2312" w:eastAsia="仿宋_GB2312" w:cs="仿宋_GB2312"/>
          <w:color w:val="auto"/>
          <w:w w:val="100"/>
          <w:highlight w:val="none"/>
          <w:lang w:eastAsia="zh-CN"/>
        </w:rPr>
        <w:t>长期</w:t>
      </w:r>
      <w:r>
        <w:rPr>
          <w:rFonts w:hint="eastAsia" w:ascii="仿宋_GB2312" w:hAnsi="仿宋_GB2312" w:eastAsia="仿宋_GB2312" w:cs="仿宋_GB2312"/>
          <w:color w:val="auto"/>
          <w:spacing w:val="1"/>
          <w:w w:val="100"/>
          <w:highlight w:val="none"/>
          <w:lang w:eastAsia="zh-CN"/>
        </w:rPr>
        <w:t>市</w:t>
      </w:r>
      <w:r>
        <w:rPr>
          <w:rFonts w:hint="eastAsia" w:ascii="仿宋_GB2312" w:hAnsi="仿宋_GB2312" w:eastAsia="仿宋_GB2312" w:cs="仿宋_GB2312"/>
          <w:color w:val="auto"/>
          <w:w w:val="100"/>
          <w:highlight w:val="none"/>
          <w:lang w:eastAsia="zh-CN"/>
        </w:rPr>
        <w:t>场</w:t>
      </w:r>
      <w:r>
        <w:rPr>
          <w:rFonts w:hint="eastAsia" w:ascii="仿宋_GB2312" w:hAnsi="仿宋_GB2312" w:eastAsia="仿宋_GB2312" w:cs="仿宋_GB2312"/>
          <w:color w:val="auto"/>
          <w:spacing w:val="-56"/>
          <w:w w:val="100"/>
          <w:highlight w:val="none"/>
          <w:lang w:eastAsia="zh-CN"/>
        </w:rPr>
        <w:t>）</w:t>
      </w:r>
      <w:r>
        <w:rPr>
          <w:rFonts w:hint="eastAsia" w:ascii="仿宋_GB2312" w:hAnsi="仿宋_GB2312" w:eastAsia="仿宋_GB2312" w:cs="仿宋_GB2312"/>
          <w:color w:val="auto"/>
          <w:spacing w:val="1"/>
          <w:w w:val="100"/>
          <w:highlight w:val="none"/>
          <w:lang w:eastAsia="zh-CN"/>
        </w:rPr>
        <w:t>中</w:t>
      </w:r>
      <w:r>
        <w:rPr>
          <w:rFonts w:hint="eastAsia" w:ascii="仿宋_GB2312" w:hAnsi="仿宋_GB2312" w:eastAsia="仿宋_GB2312" w:cs="仿宋_GB2312"/>
          <w:color w:val="auto"/>
          <w:w w:val="100"/>
          <w:highlight w:val="none"/>
          <w:lang w:eastAsia="zh-CN"/>
        </w:rPr>
        <w:t>以</w:t>
      </w:r>
      <w:r>
        <w:rPr>
          <w:rFonts w:hint="eastAsia" w:ascii="仿宋_GB2312" w:hAnsi="仿宋_GB2312" w:eastAsia="仿宋_GB2312" w:cs="仿宋_GB2312"/>
          <w:color w:val="auto"/>
          <w:spacing w:val="1"/>
          <w:w w:val="100"/>
          <w:highlight w:val="none"/>
          <w:lang w:eastAsia="zh-CN"/>
        </w:rPr>
        <w:t>多</w:t>
      </w:r>
      <w:r>
        <w:rPr>
          <w:rFonts w:hint="eastAsia" w:ascii="仿宋_GB2312" w:hAnsi="仿宋_GB2312" w:eastAsia="仿宋_GB2312" w:cs="仿宋_GB2312"/>
          <w:color w:val="auto"/>
          <w:w w:val="100"/>
          <w:highlight w:val="none"/>
          <w:lang w:eastAsia="zh-CN"/>
        </w:rPr>
        <w:t>年</w:t>
      </w:r>
      <w:r>
        <w:rPr>
          <w:rFonts w:hint="eastAsia" w:ascii="仿宋_GB2312" w:hAnsi="仿宋_GB2312" w:eastAsia="仿宋_GB2312" w:cs="仿宋_GB2312"/>
          <w:color w:val="auto"/>
          <w:spacing w:val="-56"/>
          <w:w w:val="100"/>
          <w:highlight w:val="none"/>
          <w:lang w:eastAsia="zh-CN"/>
        </w:rPr>
        <w:t>、</w:t>
      </w:r>
      <w:r>
        <w:rPr>
          <w:rFonts w:hint="eastAsia" w:ascii="仿宋_GB2312" w:hAnsi="仿宋_GB2312" w:eastAsia="仿宋_GB2312" w:cs="仿宋_GB2312"/>
          <w:color w:val="auto"/>
          <w:w w:val="100"/>
          <w:highlight w:val="none"/>
          <w:lang w:eastAsia="zh-CN"/>
        </w:rPr>
        <w:t>年、月（多月）</w:t>
      </w:r>
      <w:r>
        <w:rPr>
          <w:rFonts w:hint="eastAsia" w:ascii="仿宋_GB2312" w:hAnsi="仿宋_GB2312" w:eastAsia="仿宋_GB2312" w:cs="仿宋_GB2312"/>
          <w:color w:val="auto"/>
          <w:spacing w:val="-6"/>
          <w:w w:val="100"/>
          <w:highlight w:val="none"/>
          <w:lang w:eastAsia="zh-CN"/>
        </w:rPr>
        <w:t>、</w:t>
      </w:r>
      <w:r>
        <w:rPr>
          <w:rFonts w:hint="eastAsia" w:ascii="仿宋_GB2312" w:hAnsi="仿宋_GB2312" w:eastAsia="仿宋_GB2312" w:cs="仿宋_GB2312"/>
          <w:color w:val="auto"/>
          <w:w w:val="100"/>
          <w:highlight w:val="none"/>
          <w:lang w:eastAsia="zh-CN"/>
        </w:rPr>
        <w:t>周</w:t>
      </w:r>
      <w:r>
        <w:rPr>
          <w:rFonts w:hint="eastAsia" w:ascii="仿宋_GB2312" w:hAnsi="仿宋_GB2312" w:eastAsia="仿宋_GB2312" w:cs="仿宋_GB2312"/>
          <w:color w:val="auto"/>
          <w:spacing w:val="2"/>
          <w:w w:val="100"/>
          <w:highlight w:val="none"/>
          <w:lang w:eastAsia="zh-CN"/>
        </w:rPr>
        <w:t>及</w:t>
      </w:r>
      <w:r>
        <w:rPr>
          <w:rFonts w:hint="eastAsia" w:ascii="仿宋_GB2312" w:hAnsi="仿宋_GB2312" w:eastAsia="仿宋_GB2312" w:cs="仿宋_GB2312"/>
          <w:color w:val="auto"/>
          <w:w w:val="100"/>
          <w:highlight w:val="none"/>
          <w:lang w:eastAsia="zh-CN"/>
        </w:rPr>
        <w:t>日以</w:t>
      </w:r>
      <w:r>
        <w:rPr>
          <w:rFonts w:hint="eastAsia" w:ascii="仿宋_GB2312" w:hAnsi="仿宋_GB2312" w:eastAsia="仿宋_GB2312" w:cs="仿宋_GB2312"/>
          <w:color w:val="auto"/>
          <w:spacing w:val="2"/>
          <w:w w:val="100"/>
          <w:highlight w:val="none"/>
          <w:lang w:eastAsia="zh-CN"/>
        </w:rPr>
        <w:t>上</w:t>
      </w:r>
      <w:r>
        <w:rPr>
          <w:rFonts w:hint="eastAsia" w:ascii="仿宋_GB2312" w:hAnsi="仿宋_GB2312" w:eastAsia="仿宋_GB2312" w:cs="仿宋_GB2312"/>
          <w:color w:val="auto"/>
          <w:w w:val="100"/>
          <w:highlight w:val="none"/>
          <w:lang w:eastAsia="zh-CN"/>
        </w:rPr>
        <w:t>为交</w:t>
      </w:r>
      <w:r>
        <w:rPr>
          <w:rFonts w:hint="eastAsia" w:ascii="仿宋_GB2312" w:hAnsi="仿宋_GB2312" w:eastAsia="仿宋_GB2312" w:cs="仿宋_GB2312"/>
          <w:color w:val="auto"/>
          <w:spacing w:val="2"/>
          <w:w w:val="100"/>
          <w:highlight w:val="none"/>
          <w:lang w:eastAsia="zh-CN"/>
        </w:rPr>
        <w:t>易</w:t>
      </w:r>
      <w:r>
        <w:rPr>
          <w:rFonts w:hint="eastAsia" w:ascii="仿宋_GB2312" w:hAnsi="仿宋_GB2312" w:eastAsia="仿宋_GB2312" w:cs="仿宋_GB2312"/>
          <w:color w:val="auto"/>
          <w:w w:val="100"/>
          <w:highlight w:val="none"/>
          <w:lang w:eastAsia="zh-CN"/>
        </w:rPr>
        <w:t>组织</w:t>
      </w:r>
      <w:r>
        <w:rPr>
          <w:rFonts w:hint="eastAsia" w:ascii="仿宋_GB2312" w:hAnsi="仿宋_GB2312" w:eastAsia="仿宋_GB2312" w:cs="仿宋_GB2312"/>
          <w:color w:val="auto"/>
          <w:spacing w:val="2"/>
          <w:w w:val="100"/>
          <w:highlight w:val="none"/>
          <w:lang w:eastAsia="zh-CN"/>
        </w:rPr>
        <w:t>周</w:t>
      </w:r>
      <w:r>
        <w:rPr>
          <w:rFonts w:hint="eastAsia" w:ascii="仿宋_GB2312" w:hAnsi="仿宋_GB2312" w:eastAsia="仿宋_GB2312" w:cs="仿宋_GB2312"/>
          <w:color w:val="auto"/>
          <w:w w:val="100"/>
          <w:highlight w:val="none"/>
          <w:lang w:eastAsia="zh-CN"/>
        </w:rPr>
        <w:t>期</w:t>
      </w:r>
      <w:r>
        <w:rPr>
          <w:rFonts w:hint="eastAsia" w:ascii="仿宋_GB2312" w:hAnsi="仿宋_GB2312" w:eastAsia="仿宋_GB2312" w:cs="仿宋_GB2312"/>
          <w:color w:val="auto"/>
          <w:spacing w:val="-8"/>
          <w:w w:val="100"/>
          <w:highlight w:val="none"/>
          <w:lang w:eastAsia="zh-CN"/>
        </w:rPr>
        <w:t>，</w:t>
      </w:r>
      <w:r>
        <w:rPr>
          <w:rFonts w:hint="eastAsia" w:ascii="仿宋_GB2312" w:hAnsi="仿宋_GB2312" w:eastAsia="仿宋_GB2312" w:cs="仿宋_GB2312"/>
          <w:color w:val="auto"/>
          <w:w w:val="100"/>
          <w:highlight w:val="none"/>
          <w:lang w:eastAsia="zh-CN"/>
        </w:rPr>
        <w:t>以</w:t>
      </w:r>
      <w:r>
        <w:rPr>
          <w:rFonts w:hint="eastAsia" w:ascii="仿宋_GB2312" w:hAnsi="仿宋_GB2312" w:eastAsia="仿宋_GB2312" w:cs="仿宋_GB2312"/>
          <w:color w:val="auto"/>
          <w:spacing w:val="2"/>
          <w:w w:val="100"/>
          <w:highlight w:val="none"/>
          <w:lang w:eastAsia="zh-CN"/>
        </w:rPr>
        <w:t>电</w:t>
      </w:r>
      <w:r>
        <w:rPr>
          <w:rFonts w:hint="eastAsia" w:ascii="仿宋_GB2312" w:hAnsi="仿宋_GB2312" w:eastAsia="仿宋_GB2312" w:cs="仿宋_GB2312"/>
          <w:color w:val="auto"/>
          <w:w w:val="100"/>
          <w:highlight w:val="none"/>
          <w:lang w:eastAsia="zh-CN"/>
        </w:rPr>
        <w:t>能量</w:t>
      </w:r>
      <w:r>
        <w:rPr>
          <w:rFonts w:hint="eastAsia" w:ascii="仿宋_GB2312" w:hAnsi="仿宋_GB2312" w:eastAsia="仿宋_GB2312" w:cs="仿宋_GB2312"/>
          <w:color w:val="auto"/>
          <w:spacing w:val="2"/>
          <w:w w:val="100"/>
          <w:highlight w:val="none"/>
          <w:lang w:eastAsia="zh-CN"/>
        </w:rPr>
        <w:t>为</w:t>
      </w:r>
      <w:r>
        <w:rPr>
          <w:rFonts w:hint="eastAsia" w:ascii="仿宋_GB2312" w:hAnsi="仿宋_GB2312" w:eastAsia="仿宋_GB2312" w:cs="仿宋_GB2312"/>
          <w:color w:val="auto"/>
          <w:w w:val="100"/>
          <w:highlight w:val="none"/>
          <w:lang w:eastAsia="zh-CN"/>
        </w:rPr>
        <w:t>标的</w:t>
      </w:r>
      <w:r>
        <w:rPr>
          <w:rFonts w:hint="eastAsia" w:ascii="仿宋_GB2312" w:hAnsi="仿宋_GB2312" w:eastAsia="仿宋_GB2312" w:cs="仿宋_GB2312"/>
          <w:color w:val="auto"/>
          <w:spacing w:val="2"/>
          <w:w w:val="100"/>
          <w:highlight w:val="none"/>
          <w:lang w:eastAsia="zh-CN"/>
        </w:rPr>
        <w:t>开</w:t>
      </w:r>
      <w:r>
        <w:rPr>
          <w:rFonts w:hint="eastAsia" w:ascii="仿宋_GB2312" w:hAnsi="仿宋_GB2312" w:eastAsia="仿宋_GB2312" w:cs="仿宋_GB2312"/>
          <w:color w:val="auto"/>
          <w:w w:val="100"/>
          <w:highlight w:val="none"/>
          <w:lang w:eastAsia="zh-CN"/>
        </w:rPr>
        <w:t>展的市场</w:t>
      </w:r>
      <w:r>
        <w:rPr>
          <w:rFonts w:hint="eastAsia" w:ascii="仿宋_GB2312" w:hAnsi="仿宋_GB2312" w:eastAsia="仿宋_GB2312" w:cs="仿宋_GB2312"/>
          <w:color w:val="auto"/>
          <w:spacing w:val="2"/>
          <w:w w:val="100"/>
          <w:highlight w:val="none"/>
          <w:lang w:eastAsia="zh-CN"/>
        </w:rPr>
        <w:t>化</w:t>
      </w:r>
      <w:r>
        <w:rPr>
          <w:rFonts w:hint="eastAsia" w:ascii="仿宋_GB2312" w:hAnsi="仿宋_GB2312" w:eastAsia="仿宋_GB2312" w:cs="仿宋_GB2312"/>
          <w:color w:val="auto"/>
          <w:w w:val="100"/>
          <w:highlight w:val="none"/>
          <w:lang w:eastAsia="zh-CN"/>
        </w:rPr>
        <w:t>交易</w:t>
      </w:r>
      <w:r>
        <w:rPr>
          <w:rFonts w:hint="eastAsia" w:ascii="仿宋_GB2312" w:hAnsi="仿宋_GB2312" w:eastAsia="仿宋_GB2312" w:cs="仿宋_GB2312"/>
          <w:color w:val="auto"/>
          <w:spacing w:val="-6"/>
          <w:w w:val="100"/>
          <w:highlight w:val="none"/>
          <w:lang w:eastAsia="zh-CN"/>
        </w:rPr>
        <w:t>，</w:t>
      </w:r>
      <w:r>
        <w:rPr>
          <w:rFonts w:hint="eastAsia" w:ascii="仿宋_GB2312" w:hAnsi="仿宋_GB2312" w:eastAsia="仿宋_GB2312" w:cs="仿宋_GB2312"/>
          <w:color w:val="auto"/>
          <w:w w:val="100"/>
          <w:highlight w:val="none"/>
          <w:lang w:eastAsia="zh-CN"/>
        </w:rPr>
        <w:t>交</w:t>
      </w:r>
      <w:r>
        <w:rPr>
          <w:rFonts w:hint="eastAsia" w:ascii="仿宋_GB2312" w:hAnsi="仿宋_GB2312" w:eastAsia="仿宋_GB2312" w:cs="仿宋_GB2312"/>
          <w:color w:val="auto"/>
          <w:spacing w:val="2"/>
          <w:w w:val="100"/>
          <w:highlight w:val="none"/>
          <w:lang w:eastAsia="zh-CN"/>
        </w:rPr>
        <w:t>易</w:t>
      </w:r>
      <w:r>
        <w:rPr>
          <w:rFonts w:hint="eastAsia" w:ascii="仿宋_GB2312" w:hAnsi="仿宋_GB2312" w:eastAsia="仿宋_GB2312" w:cs="仿宋_GB2312"/>
          <w:color w:val="auto"/>
          <w:w w:val="100"/>
          <w:highlight w:val="none"/>
          <w:lang w:eastAsia="zh-CN"/>
        </w:rPr>
        <w:t>结果经交</w:t>
      </w:r>
      <w:r>
        <w:rPr>
          <w:rFonts w:hint="eastAsia" w:ascii="仿宋_GB2312" w:hAnsi="仿宋_GB2312" w:eastAsia="仿宋_GB2312" w:cs="仿宋_GB2312"/>
          <w:color w:val="auto"/>
          <w:spacing w:val="2"/>
          <w:w w:val="100"/>
          <w:highlight w:val="none"/>
          <w:lang w:eastAsia="zh-CN"/>
        </w:rPr>
        <w:t>易</w:t>
      </w:r>
      <w:r>
        <w:rPr>
          <w:rFonts w:hint="eastAsia" w:ascii="仿宋_GB2312" w:hAnsi="仿宋_GB2312" w:eastAsia="仿宋_GB2312" w:cs="仿宋_GB2312"/>
          <w:color w:val="auto"/>
          <w:w w:val="100"/>
          <w:highlight w:val="none"/>
          <w:lang w:eastAsia="zh-CN"/>
        </w:rPr>
        <w:t>校</w:t>
      </w:r>
      <w:r>
        <w:rPr>
          <w:rFonts w:hint="eastAsia" w:ascii="仿宋_GB2312" w:hAnsi="仿宋_GB2312" w:eastAsia="仿宋_GB2312" w:cs="仿宋_GB2312"/>
          <w:color w:val="auto"/>
          <w:spacing w:val="2"/>
          <w:w w:val="100"/>
          <w:highlight w:val="none"/>
          <w:lang w:eastAsia="zh-CN"/>
        </w:rPr>
        <w:t>核</w:t>
      </w:r>
      <w:r>
        <w:rPr>
          <w:rFonts w:hint="eastAsia" w:ascii="仿宋_GB2312" w:hAnsi="仿宋_GB2312" w:eastAsia="仿宋_GB2312" w:cs="仿宋_GB2312"/>
          <w:color w:val="auto"/>
          <w:w w:val="100"/>
          <w:highlight w:val="none"/>
          <w:lang w:eastAsia="zh-CN"/>
        </w:rPr>
        <w:t>通过后</w:t>
      </w:r>
      <w:r>
        <w:rPr>
          <w:rFonts w:hint="eastAsia" w:ascii="仿宋_GB2312" w:hAnsi="仿宋_GB2312" w:eastAsia="仿宋_GB2312" w:cs="仿宋_GB2312"/>
          <w:color w:val="auto"/>
          <w:spacing w:val="2"/>
          <w:w w:val="100"/>
          <w:highlight w:val="none"/>
          <w:lang w:eastAsia="zh-CN"/>
        </w:rPr>
        <w:t>生</w:t>
      </w:r>
      <w:r>
        <w:rPr>
          <w:rFonts w:hint="eastAsia" w:ascii="仿宋_GB2312" w:hAnsi="仿宋_GB2312" w:eastAsia="仿宋_GB2312" w:cs="仿宋_GB2312"/>
          <w:color w:val="auto"/>
          <w:w w:val="100"/>
          <w:highlight w:val="none"/>
          <w:lang w:eastAsia="zh-CN"/>
        </w:rPr>
        <w:t>效</w:t>
      </w:r>
      <w:r>
        <w:rPr>
          <w:rFonts w:hint="eastAsia" w:ascii="仿宋_GB2312" w:hAnsi="仿宋_GB2312" w:eastAsia="仿宋_GB2312" w:cs="仿宋_GB2312"/>
          <w:color w:val="auto"/>
          <w:spacing w:val="-6"/>
          <w:w w:val="100"/>
          <w:highlight w:val="none"/>
          <w:lang w:eastAsia="zh-CN"/>
        </w:rPr>
        <w:t>，</w:t>
      </w:r>
      <w:r>
        <w:rPr>
          <w:rFonts w:hint="eastAsia" w:ascii="仿宋_GB2312" w:hAnsi="仿宋_GB2312" w:eastAsia="仿宋_GB2312" w:cs="仿宋_GB2312"/>
          <w:color w:val="auto"/>
          <w:w w:val="100"/>
          <w:highlight w:val="none"/>
          <w:lang w:eastAsia="zh-CN"/>
        </w:rPr>
        <w:t>交</w:t>
      </w:r>
      <w:r>
        <w:rPr>
          <w:rFonts w:hint="eastAsia" w:ascii="仿宋_GB2312" w:hAnsi="仿宋_GB2312" w:eastAsia="仿宋_GB2312" w:cs="仿宋_GB2312"/>
          <w:color w:val="auto"/>
          <w:spacing w:val="2"/>
          <w:w w:val="100"/>
          <w:highlight w:val="none"/>
          <w:lang w:eastAsia="zh-CN"/>
        </w:rPr>
        <w:t>易</w:t>
      </w:r>
      <w:r>
        <w:rPr>
          <w:rFonts w:hint="eastAsia" w:ascii="仿宋_GB2312" w:hAnsi="仿宋_GB2312" w:eastAsia="仿宋_GB2312" w:cs="仿宋_GB2312"/>
          <w:color w:val="auto"/>
          <w:w w:val="100"/>
          <w:highlight w:val="none"/>
          <w:lang w:eastAsia="zh-CN"/>
        </w:rPr>
        <w:t>形成</w:t>
      </w:r>
      <w:r>
        <w:rPr>
          <w:rFonts w:hint="eastAsia" w:ascii="仿宋_GB2312" w:hAnsi="仿宋_GB2312" w:eastAsia="仿宋_GB2312" w:cs="仿宋_GB2312"/>
          <w:color w:val="auto"/>
          <w:spacing w:val="2"/>
          <w:w w:val="100"/>
          <w:highlight w:val="none"/>
          <w:lang w:eastAsia="zh-CN"/>
        </w:rPr>
        <w:t>的</w:t>
      </w:r>
      <w:r>
        <w:rPr>
          <w:rFonts w:hint="eastAsia" w:ascii="仿宋_GB2312" w:hAnsi="仿宋_GB2312" w:eastAsia="仿宋_GB2312" w:cs="仿宋_GB2312"/>
          <w:color w:val="auto"/>
          <w:w w:val="100"/>
          <w:highlight w:val="none"/>
          <w:lang w:eastAsia="zh-CN"/>
        </w:rPr>
        <w:t>市场</w:t>
      </w:r>
      <w:r>
        <w:rPr>
          <w:rFonts w:hint="eastAsia" w:ascii="仿宋_GB2312" w:hAnsi="仿宋_GB2312" w:eastAsia="仿宋_GB2312" w:cs="仿宋_GB2312"/>
          <w:color w:val="auto"/>
          <w:spacing w:val="2"/>
          <w:w w:val="100"/>
          <w:highlight w:val="none"/>
          <w:lang w:eastAsia="zh-CN"/>
        </w:rPr>
        <w:t>合同</w:t>
      </w:r>
      <w:r>
        <w:rPr>
          <w:rFonts w:hint="eastAsia" w:ascii="仿宋_GB2312" w:hAnsi="仿宋_GB2312" w:eastAsia="仿宋_GB2312" w:cs="仿宋_GB2312"/>
          <w:color w:val="auto"/>
          <w:w w:val="100"/>
          <w:highlight w:val="none"/>
          <w:lang w:eastAsia="zh-CN"/>
        </w:rPr>
        <w:t>和电</w:t>
      </w:r>
      <w:r>
        <w:rPr>
          <w:rFonts w:hint="eastAsia" w:ascii="仿宋_GB2312" w:hAnsi="仿宋_GB2312" w:eastAsia="仿宋_GB2312" w:cs="仿宋_GB2312"/>
          <w:color w:val="auto"/>
          <w:spacing w:val="2"/>
          <w:w w:val="100"/>
          <w:highlight w:val="none"/>
          <w:lang w:eastAsia="zh-CN"/>
        </w:rPr>
        <w:t>网</w:t>
      </w:r>
      <w:r>
        <w:rPr>
          <w:rFonts w:hint="eastAsia" w:ascii="仿宋_GB2312" w:hAnsi="仿宋_GB2312" w:eastAsia="仿宋_GB2312" w:cs="仿宋_GB2312"/>
          <w:color w:val="auto"/>
          <w:w w:val="100"/>
          <w:highlight w:val="none"/>
          <w:lang w:eastAsia="zh-CN"/>
        </w:rPr>
        <w:t>代购</w:t>
      </w:r>
      <w:r>
        <w:rPr>
          <w:rFonts w:hint="eastAsia" w:ascii="仿宋_GB2312" w:hAnsi="仿宋_GB2312" w:eastAsia="仿宋_GB2312" w:cs="仿宋_GB2312"/>
          <w:color w:val="auto"/>
          <w:spacing w:val="2"/>
          <w:w w:val="100"/>
          <w:highlight w:val="none"/>
          <w:lang w:eastAsia="zh-CN"/>
        </w:rPr>
        <w:t>市</w:t>
      </w:r>
      <w:r>
        <w:rPr>
          <w:rFonts w:hint="eastAsia" w:ascii="仿宋_GB2312" w:hAnsi="仿宋_GB2312" w:eastAsia="仿宋_GB2312" w:cs="仿宋_GB2312"/>
          <w:color w:val="auto"/>
          <w:w w:val="100"/>
          <w:highlight w:val="none"/>
          <w:lang w:eastAsia="zh-CN"/>
        </w:rPr>
        <w:t>场电</w:t>
      </w:r>
      <w:r>
        <w:rPr>
          <w:rFonts w:hint="eastAsia" w:ascii="仿宋_GB2312" w:hAnsi="仿宋_GB2312" w:eastAsia="仿宋_GB2312" w:cs="仿宋_GB2312"/>
          <w:color w:val="auto"/>
          <w:spacing w:val="2"/>
          <w:w w:val="100"/>
          <w:highlight w:val="none"/>
          <w:lang w:eastAsia="zh-CN"/>
        </w:rPr>
        <w:t>量</w:t>
      </w:r>
      <w:r>
        <w:rPr>
          <w:rFonts w:hint="eastAsia" w:ascii="仿宋_GB2312" w:hAnsi="仿宋_GB2312" w:eastAsia="仿宋_GB2312" w:cs="仿宋_GB2312"/>
          <w:color w:val="auto"/>
          <w:w w:val="100"/>
          <w:highlight w:val="none"/>
          <w:lang w:eastAsia="zh-CN"/>
        </w:rPr>
        <w:t>合同</w:t>
      </w:r>
      <w:r>
        <w:rPr>
          <w:rFonts w:hint="eastAsia" w:ascii="仿宋_GB2312" w:hAnsi="仿宋_GB2312" w:eastAsia="仿宋_GB2312" w:cs="仿宋_GB2312"/>
          <w:color w:val="auto"/>
          <w:spacing w:val="-16"/>
          <w:w w:val="100"/>
          <w:highlight w:val="none"/>
          <w:lang w:eastAsia="zh-CN"/>
        </w:rPr>
        <w:t>按</w:t>
      </w:r>
      <w:r>
        <w:rPr>
          <w:rFonts w:hint="eastAsia" w:ascii="仿宋_GB2312" w:hAnsi="仿宋_GB2312" w:eastAsia="仿宋_GB2312" w:cs="仿宋_GB2312"/>
          <w:color w:val="auto"/>
          <w:w w:val="100"/>
          <w:highlight w:val="none"/>
          <w:lang w:eastAsia="zh-CN"/>
        </w:rPr>
        <w:t>《海南电力</w:t>
      </w:r>
      <w:r>
        <w:rPr>
          <w:rFonts w:hint="eastAsia" w:ascii="仿宋_GB2312" w:hAnsi="仿宋_GB2312" w:eastAsia="仿宋_GB2312" w:cs="仿宋_GB2312"/>
          <w:color w:val="auto"/>
          <w:spacing w:val="2"/>
          <w:w w:val="100"/>
          <w:highlight w:val="none"/>
          <w:lang w:eastAsia="zh-CN"/>
        </w:rPr>
        <w:t>市</w:t>
      </w:r>
      <w:r>
        <w:rPr>
          <w:rFonts w:hint="eastAsia" w:ascii="仿宋_GB2312" w:hAnsi="仿宋_GB2312" w:eastAsia="仿宋_GB2312" w:cs="仿宋_GB2312"/>
          <w:color w:val="auto"/>
          <w:w w:val="100"/>
          <w:highlight w:val="none"/>
          <w:lang w:eastAsia="zh-CN"/>
        </w:rPr>
        <w:t>场结</w:t>
      </w:r>
      <w:r>
        <w:rPr>
          <w:rFonts w:hint="eastAsia" w:ascii="仿宋_GB2312" w:hAnsi="仿宋_GB2312" w:eastAsia="仿宋_GB2312" w:cs="仿宋_GB2312"/>
          <w:color w:val="auto"/>
          <w:spacing w:val="2"/>
          <w:w w:val="100"/>
          <w:highlight w:val="none"/>
          <w:lang w:eastAsia="zh-CN"/>
        </w:rPr>
        <w:t>算</w:t>
      </w:r>
      <w:r>
        <w:rPr>
          <w:rFonts w:hint="eastAsia" w:ascii="仿宋_GB2312" w:hAnsi="仿宋_GB2312" w:eastAsia="仿宋_GB2312" w:cs="仿宋_GB2312"/>
          <w:color w:val="auto"/>
          <w:w w:val="100"/>
          <w:highlight w:val="none"/>
          <w:lang w:eastAsia="zh-CN"/>
        </w:rPr>
        <w:t>实施细</w:t>
      </w:r>
      <w:r>
        <w:rPr>
          <w:rFonts w:hint="eastAsia" w:ascii="仿宋_GB2312" w:hAnsi="仿宋_GB2312" w:eastAsia="仿宋_GB2312" w:cs="仿宋_GB2312"/>
          <w:color w:val="auto"/>
          <w:spacing w:val="2"/>
          <w:w w:val="100"/>
          <w:highlight w:val="none"/>
          <w:lang w:eastAsia="zh-CN"/>
        </w:rPr>
        <w:t>则</w:t>
      </w:r>
      <w:r>
        <w:rPr>
          <w:rFonts w:hint="eastAsia" w:ascii="仿宋_GB2312" w:hAnsi="仿宋_GB2312" w:eastAsia="仿宋_GB2312" w:cs="仿宋_GB2312"/>
          <w:color w:val="auto"/>
          <w:w w:val="100"/>
          <w:highlight w:val="none"/>
          <w:lang w:eastAsia="zh-CN"/>
        </w:rPr>
        <w:t>》规</w:t>
      </w:r>
      <w:r>
        <w:rPr>
          <w:rFonts w:hint="eastAsia" w:ascii="仿宋_GB2312" w:hAnsi="仿宋_GB2312" w:eastAsia="仿宋_GB2312" w:cs="仿宋_GB2312"/>
          <w:color w:val="auto"/>
          <w:spacing w:val="2"/>
          <w:w w:val="100"/>
          <w:highlight w:val="none"/>
          <w:lang w:eastAsia="zh-CN"/>
        </w:rPr>
        <w:t>定</w:t>
      </w:r>
      <w:r>
        <w:rPr>
          <w:rFonts w:hint="eastAsia" w:ascii="仿宋_GB2312" w:hAnsi="仿宋_GB2312" w:eastAsia="仿宋_GB2312" w:cs="仿宋_GB2312"/>
          <w:color w:val="auto"/>
          <w:w w:val="100"/>
          <w:highlight w:val="none"/>
          <w:lang w:eastAsia="zh-CN"/>
        </w:rPr>
        <w:t>进行</w:t>
      </w:r>
      <w:r>
        <w:rPr>
          <w:rFonts w:hint="eastAsia" w:ascii="仿宋_GB2312" w:hAnsi="仿宋_GB2312" w:eastAsia="仿宋_GB2312" w:cs="仿宋_GB2312"/>
          <w:color w:val="auto"/>
          <w:spacing w:val="2"/>
          <w:w w:val="100"/>
          <w:highlight w:val="none"/>
          <w:lang w:eastAsia="zh-CN"/>
        </w:rPr>
        <w:t>结</w:t>
      </w:r>
      <w:r>
        <w:rPr>
          <w:rFonts w:hint="eastAsia" w:ascii="仿宋_GB2312" w:hAnsi="仿宋_GB2312" w:eastAsia="仿宋_GB2312" w:cs="仿宋_GB2312"/>
          <w:color w:val="auto"/>
          <w:w w:val="100"/>
          <w:highlight w:val="none"/>
          <w:lang w:eastAsia="zh-CN"/>
        </w:rPr>
        <w:t>算。</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（2）</w:t>
      </w:r>
      <w:r>
        <w:rPr>
          <w:rFonts w:hint="eastAsia" w:ascii="仿宋_GB2312" w:hAnsi="仿宋_GB2312" w:eastAsia="仿宋_GB2312" w:cs="仿宋_GB2312"/>
          <w:color w:val="auto"/>
          <w:spacing w:val="1"/>
          <w:w w:val="100"/>
          <w:highlight w:val="none"/>
          <w:lang w:eastAsia="zh-CN"/>
        </w:rPr>
        <w:t>交</w:t>
      </w:r>
      <w:r>
        <w:rPr>
          <w:rFonts w:hint="eastAsia" w:ascii="仿宋_GB2312" w:hAnsi="仿宋_GB2312" w:eastAsia="仿宋_GB2312" w:cs="仿宋_GB2312"/>
          <w:color w:val="auto"/>
          <w:w w:val="100"/>
          <w:highlight w:val="none"/>
          <w:lang w:eastAsia="zh-CN"/>
        </w:rPr>
        <w:t>易单</w:t>
      </w:r>
      <w:r>
        <w:rPr>
          <w:rFonts w:hint="eastAsia" w:ascii="仿宋_GB2312" w:hAnsi="仿宋_GB2312" w:eastAsia="仿宋_GB2312" w:cs="仿宋_GB2312"/>
          <w:color w:val="auto"/>
          <w:spacing w:val="1"/>
          <w:w w:val="100"/>
          <w:highlight w:val="none"/>
          <w:lang w:eastAsia="zh-CN"/>
        </w:rPr>
        <w:t>元</w:t>
      </w:r>
      <w:r>
        <w:rPr>
          <w:rFonts w:hint="eastAsia" w:ascii="仿宋_GB2312" w:hAnsi="仿宋_GB2312" w:eastAsia="仿宋_GB2312" w:cs="仿宋_GB2312"/>
          <w:color w:val="auto"/>
          <w:w w:val="100"/>
          <w:highlight w:val="none"/>
          <w:lang w:eastAsia="zh-CN"/>
        </w:rPr>
        <w:t>，指</w:t>
      </w:r>
      <w:r>
        <w:rPr>
          <w:rFonts w:hint="eastAsia" w:ascii="仿宋_GB2312" w:hAnsi="仿宋_GB2312" w:eastAsia="仿宋_GB2312" w:cs="仿宋_GB2312"/>
          <w:color w:val="auto"/>
          <w:spacing w:val="1"/>
          <w:w w:val="100"/>
          <w:highlight w:val="none"/>
          <w:lang w:eastAsia="zh-CN"/>
        </w:rPr>
        <w:t>经营主体</w:t>
      </w:r>
      <w:r>
        <w:rPr>
          <w:rFonts w:hint="eastAsia" w:ascii="仿宋_GB2312" w:hAnsi="仿宋_GB2312" w:eastAsia="仿宋_GB2312" w:cs="仿宋_GB2312"/>
          <w:color w:val="auto"/>
          <w:w w:val="100"/>
          <w:highlight w:val="none"/>
          <w:lang w:eastAsia="zh-CN"/>
        </w:rPr>
        <w:t>参加</w:t>
      </w:r>
      <w:r>
        <w:rPr>
          <w:rFonts w:hint="eastAsia" w:ascii="仿宋_GB2312" w:hAnsi="仿宋_GB2312" w:eastAsia="仿宋_GB2312" w:cs="仿宋_GB2312"/>
          <w:color w:val="auto"/>
          <w:spacing w:val="1"/>
          <w:w w:val="100"/>
          <w:highlight w:val="none"/>
          <w:lang w:eastAsia="zh-CN"/>
        </w:rPr>
        <w:t>中</w:t>
      </w:r>
      <w:r>
        <w:rPr>
          <w:rFonts w:hint="eastAsia" w:ascii="仿宋_GB2312" w:hAnsi="仿宋_GB2312" w:eastAsia="仿宋_GB2312" w:cs="仿宋_GB2312"/>
          <w:color w:val="auto"/>
          <w:w w:val="100"/>
          <w:highlight w:val="none"/>
          <w:lang w:eastAsia="zh-CN"/>
        </w:rPr>
        <w:t>长期</w:t>
      </w:r>
      <w:r>
        <w:rPr>
          <w:rFonts w:hint="eastAsia" w:ascii="仿宋_GB2312" w:hAnsi="仿宋_GB2312" w:eastAsia="仿宋_GB2312" w:cs="仿宋_GB2312"/>
          <w:color w:val="auto"/>
          <w:spacing w:val="1"/>
          <w:w w:val="100"/>
          <w:highlight w:val="none"/>
          <w:lang w:eastAsia="zh-CN"/>
        </w:rPr>
        <w:t>各</w:t>
      </w:r>
      <w:r>
        <w:rPr>
          <w:rFonts w:hint="eastAsia" w:ascii="仿宋_GB2312" w:hAnsi="仿宋_GB2312" w:eastAsia="仿宋_GB2312" w:cs="仿宋_GB2312"/>
          <w:color w:val="auto"/>
          <w:w w:val="100"/>
          <w:highlight w:val="none"/>
          <w:lang w:eastAsia="zh-CN"/>
        </w:rPr>
        <w:t>交易</w:t>
      </w:r>
      <w:r>
        <w:rPr>
          <w:rFonts w:hint="eastAsia" w:ascii="仿宋_GB2312" w:hAnsi="仿宋_GB2312" w:eastAsia="仿宋_GB2312" w:cs="仿宋_GB2312"/>
          <w:color w:val="auto"/>
          <w:spacing w:val="1"/>
          <w:w w:val="100"/>
          <w:highlight w:val="none"/>
          <w:lang w:eastAsia="zh-CN"/>
        </w:rPr>
        <w:t>品</w:t>
      </w:r>
      <w:r>
        <w:rPr>
          <w:rFonts w:hint="eastAsia" w:ascii="仿宋_GB2312" w:hAnsi="仿宋_GB2312" w:eastAsia="仿宋_GB2312" w:cs="仿宋_GB2312"/>
          <w:color w:val="auto"/>
          <w:w w:val="100"/>
          <w:highlight w:val="none"/>
          <w:lang w:eastAsia="zh-CN"/>
        </w:rPr>
        <w:t>种的基</w:t>
      </w:r>
      <w:r>
        <w:rPr>
          <w:rFonts w:hint="eastAsia" w:ascii="仿宋_GB2312" w:hAnsi="仿宋_GB2312" w:eastAsia="仿宋_GB2312" w:cs="仿宋_GB2312"/>
          <w:color w:val="auto"/>
          <w:spacing w:val="2"/>
          <w:w w:val="100"/>
          <w:highlight w:val="none"/>
          <w:lang w:eastAsia="zh-CN"/>
        </w:rPr>
        <w:t>本</w:t>
      </w:r>
      <w:r>
        <w:rPr>
          <w:rFonts w:hint="eastAsia" w:ascii="仿宋_GB2312" w:hAnsi="仿宋_GB2312" w:eastAsia="仿宋_GB2312" w:cs="仿宋_GB2312"/>
          <w:color w:val="auto"/>
          <w:w w:val="100"/>
          <w:highlight w:val="none"/>
          <w:lang w:eastAsia="zh-CN"/>
        </w:rPr>
        <w:t>单位。</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1"/>
          <w:w w:val="100"/>
          <w:highlight w:val="none"/>
          <w:lang w:val="en-US" w:eastAsia="zh-CN"/>
        </w:rPr>
        <w:t>3</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2"/>
          <w:w w:val="100"/>
          <w:highlight w:val="none"/>
          <w:lang w:eastAsia="zh-CN"/>
        </w:rPr>
        <w:t>标</w:t>
      </w:r>
      <w:r>
        <w:rPr>
          <w:rFonts w:hint="eastAsia" w:ascii="仿宋_GB2312" w:hAnsi="仿宋_GB2312" w:eastAsia="仿宋_GB2312" w:cs="仿宋_GB2312"/>
          <w:color w:val="auto"/>
          <w:w w:val="100"/>
          <w:highlight w:val="none"/>
          <w:lang w:eastAsia="zh-CN"/>
        </w:rPr>
        <w:t>的</w:t>
      </w:r>
      <w:r>
        <w:rPr>
          <w:rFonts w:hint="eastAsia" w:ascii="仿宋_GB2312" w:hAnsi="仿宋_GB2312" w:eastAsia="仿宋_GB2312" w:cs="仿宋_GB2312"/>
          <w:color w:val="auto"/>
          <w:spacing w:val="2"/>
          <w:w w:val="100"/>
          <w:highlight w:val="none"/>
          <w:lang w:eastAsia="zh-CN"/>
        </w:rPr>
        <w:t>月</w:t>
      </w:r>
      <w:r>
        <w:rPr>
          <w:rFonts w:hint="eastAsia" w:ascii="仿宋_GB2312" w:hAnsi="仿宋_GB2312" w:eastAsia="仿宋_GB2312" w:cs="仿宋_GB2312"/>
          <w:color w:val="auto"/>
          <w:w w:val="100"/>
          <w:highlight w:val="none"/>
          <w:lang w:eastAsia="zh-CN"/>
        </w:rPr>
        <w:t>，指</w:t>
      </w:r>
      <w:r>
        <w:rPr>
          <w:rFonts w:hint="eastAsia" w:ascii="仿宋_GB2312" w:hAnsi="仿宋_GB2312" w:eastAsia="仿宋_GB2312" w:cs="仿宋_GB2312"/>
          <w:color w:val="auto"/>
          <w:spacing w:val="2"/>
          <w:w w:val="100"/>
          <w:highlight w:val="none"/>
          <w:lang w:eastAsia="zh-CN"/>
        </w:rPr>
        <w:t>中</w:t>
      </w:r>
      <w:r>
        <w:rPr>
          <w:rFonts w:hint="eastAsia" w:ascii="仿宋_GB2312" w:hAnsi="仿宋_GB2312" w:eastAsia="仿宋_GB2312" w:cs="仿宋_GB2312"/>
          <w:color w:val="auto"/>
          <w:w w:val="100"/>
          <w:highlight w:val="none"/>
          <w:lang w:eastAsia="zh-CN"/>
        </w:rPr>
        <w:t>长期</w:t>
      </w:r>
      <w:r>
        <w:rPr>
          <w:rFonts w:hint="eastAsia" w:ascii="仿宋_GB2312" w:hAnsi="仿宋_GB2312" w:eastAsia="仿宋_GB2312" w:cs="仿宋_GB2312"/>
          <w:color w:val="auto"/>
          <w:spacing w:val="2"/>
          <w:w w:val="100"/>
          <w:highlight w:val="none"/>
          <w:lang w:eastAsia="zh-CN"/>
        </w:rPr>
        <w:t>交</w:t>
      </w:r>
      <w:r>
        <w:rPr>
          <w:rFonts w:hint="eastAsia" w:ascii="仿宋_GB2312" w:hAnsi="仿宋_GB2312" w:eastAsia="仿宋_GB2312" w:cs="仿宋_GB2312"/>
          <w:color w:val="auto"/>
          <w:w w:val="100"/>
          <w:highlight w:val="none"/>
          <w:lang w:eastAsia="zh-CN"/>
        </w:rPr>
        <w:t>易电</w:t>
      </w:r>
      <w:r>
        <w:rPr>
          <w:rFonts w:hint="eastAsia" w:ascii="仿宋_GB2312" w:hAnsi="仿宋_GB2312" w:eastAsia="仿宋_GB2312" w:cs="仿宋_GB2312"/>
          <w:color w:val="auto"/>
          <w:spacing w:val="2"/>
          <w:w w:val="100"/>
          <w:highlight w:val="none"/>
          <w:lang w:eastAsia="zh-CN"/>
        </w:rPr>
        <w:t>量</w:t>
      </w:r>
      <w:r>
        <w:rPr>
          <w:rFonts w:hint="eastAsia" w:ascii="仿宋_GB2312" w:hAnsi="仿宋_GB2312" w:eastAsia="仿宋_GB2312" w:cs="仿宋_GB2312"/>
          <w:color w:val="auto"/>
          <w:w w:val="100"/>
          <w:highlight w:val="none"/>
          <w:lang w:eastAsia="zh-CN"/>
        </w:rPr>
        <w:t>所属</w:t>
      </w:r>
      <w:r>
        <w:rPr>
          <w:rFonts w:hint="eastAsia" w:ascii="仿宋_GB2312" w:hAnsi="仿宋_GB2312" w:eastAsia="仿宋_GB2312" w:cs="仿宋_GB2312"/>
          <w:color w:val="auto"/>
          <w:spacing w:val="2"/>
          <w:w w:val="100"/>
          <w:highlight w:val="none"/>
          <w:lang w:eastAsia="zh-CN"/>
        </w:rPr>
        <w:t>的</w:t>
      </w:r>
      <w:r>
        <w:rPr>
          <w:rFonts w:hint="eastAsia" w:ascii="仿宋_GB2312" w:hAnsi="仿宋_GB2312" w:eastAsia="仿宋_GB2312" w:cs="仿宋_GB2312"/>
          <w:color w:val="auto"/>
          <w:w w:val="100"/>
          <w:highlight w:val="none"/>
          <w:lang w:eastAsia="zh-CN"/>
        </w:rPr>
        <w:t>月份。</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1"/>
          <w:w w:val="100"/>
          <w:highlight w:val="none"/>
          <w:lang w:val="en-US" w:eastAsia="zh-CN"/>
        </w:rPr>
        <w:t>4</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2"/>
          <w:w w:val="100"/>
          <w:highlight w:val="none"/>
          <w:lang w:eastAsia="zh-CN"/>
        </w:rPr>
        <w:t>交</w:t>
      </w:r>
      <w:r>
        <w:rPr>
          <w:rFonts w:hint="eastAsia" w:ascii="仿宋_GB2312" w:hAnsi="仿宋_GB2312" w:eastAsia="仿宋_GB2312" w:cs="仿宋_GB2312"/>
          <w:color w:val="auto"/>
          <w:w w:val="100"/>
          <w:highlight w:val="none"/>
          <w:lang w:eastAsia="zh-CN"/>
        </w:rPr>
        <w:t>易</w:t>
      </w:r>
      <w:r>
        <w:rPr>
          <w:rFonts w:hint="eastAsia" w:ascii="仿宋_GB2312" w:hAnsi="仿宋_GB2312" w:eastAsia="仿宋_GB2312" w:cs="仿宋_GB2312"/>
          <w:color w:val="auto"/>
          <w:spacing w:val="2"/>
          <w:w w:val="100"/>
          <w:highlight w:val="none"/>
          <w:lang w:eastAsia="zh-CN"/>
        </w:rPr>
        <w:t>日</w:t>
      </w:r>
      <w:r>
        <w:rPr>
          <w:rFonts w:hint="eastAsia" w:ascii="仿宋_GB2312" w:hAnsi="仿宋_GB2312" w:eastAsia="仿宋_GB2312" w:cs="仿宋_GB2312"/>
          <w:color w:val="auto"/>
          <w:w w:val="100"/>
          <w:highlight w:val="none"/>
          <w:lang w:eastAsia="zh-CN"/>
        </w:rPr>
        <w:t>，对</w:t>
      </w:r>
      <w:r>
        <w:rPr>
          <w:rFonts w:hint="eastAsia" w:ascii="仿宋_GB2312" w:hAnsi="仿宋_GB2312" w:eastAsia="仿宋_GB2312" w:cs="仿宋_GB2312"/>
          <w:color w:val="auto"/>
          <w:spacing w:val="2"/>
          <w:w w:val="100"/>
          <w:highlight w:val="none"/>
          <w:lang w:eastAsia="zh-CN"/>
        </w:rPr>
        <w:t>中</w:t>
      </w:r>
      <w:r>
        <w:rPr>
          <w:rFonts w:hint="eastAsia" w:ascii="仿宋_GB2312" w:hAnsi="仿宋_GB2312" w:eastAsia="仿宋_GB2312" w:cs="仿宋_GB2312"/>
          <w:color w:val="auto"/>
          <w:w w:val="100"/>
          <w:highlight w:val="none"/>
          <w:lang w:eastAsia="zh-CN"/>
        </w:rPr>
        <w:t>长期集</w:t>
      </w:r>
      <w:r>
        <w:rPr>
          <w:rFonts w:hint="eastAsia" w:ascii="仿宋_GB2312" w:hAnsi="仿宋_GB2312" w:eastAsia="仿宋_GB2312" w:cs="仿宋_GB2312"/>
          <w:color w:val="auto"/>
          <w:spacing w:val="2"/>
          <w:w w:val="100"/>
          <w:highlight w:val="none"/>
          <w:lang w:eastAsia="zh-CN"/>
        </w:rPr>
        <w:t>中</w:t>
      </w:r>
      <w:r>
        <w:rPr>
          <w:rFonts w:hint="eastAsia" w:ascii="仿宋_GB2312" w:hAnsi="仿宋_GB2312" w:eastAsia="仿宋_GB2312" w:cs="仿宋_GB2312"/>
          <w:color w:val="auto"/>
          <w:w w:val="100"/>
          <w:highlight w:val="none"/>
          <w:lang w:eastAsia="zh-CN"/>
        </w:rPr>
        <w:t>交</w:t>
      </w:r>
      <w:r>
        <w:rPr>
          <w:rFonts w:hint="eastAsia" w:ascii="仿宋_GB2312" w:hAnsi="仿宋_GB2312" w:eastAsia="仿宋_GB2312" w:cs="仿宋_GB2312"/>
          <w:color w:val="auto"/>
          <w:spacing w:val="2"/>
          <w:w w:val="100"/>
          <w:highlight w:val="none"/>
          <w:lang w:eastAsia="zh-CN"/>
        </w:rPr>
        <w:t>易</w:t>
      </w:r>
      <w:r>
        <w:rPr>
          <w:rFonts w:hint="eastAsia" w:ascii="仿宋_GB2312" w:hAnsi="仿宋_GB2312" w:eastAsia="仿宋_GB2312" w:cs="仿宋_GB2312"/>
          <w:color w:val="auto"/>
          <w:w w:val="100"/>
          <w:highlight w:val="none"/>
          <w:lang w:eastAsia="zh-CN"/>
        </w:rPr>
        <w:t>，是</w:t>
      </w:r>
      <w:r>
        <w:rPr>
          <w:rFonts w:hint="eastAsia" w:ascii="仿宋_GB2312" w:hAnsi="仿宋_GB2312" w:eastAsia="仿宋_GB2312" w:cs="仿宋_GB2312"/>
          <w:color w:val="auto"/>
          <w:spacing w:val="2"/>
          <w:w w:val="100"/>
          <w:highlight w:val="none"/>
          <w:lang w:eastAsia="zh-CN"/>
        </w:rPr>
        <w:t>指</w:t>
      </w:r>
      <w:r>
        <w:rPr>
          <w:rFonts w:hint="eastAsia" w:ascii="仿宋_GB2312" w:hAnsi="仿宋_GB2312" w:eastAsia="仿宋_GB2312" w:cs="仿宋_GB2312"/>
          <w:color w:val="auto"/>
          <w:w w:val="100"/>
          <w:highlight w:val="none"/>
          <w:lang w:eastAsia="zh-CN"/>
        </w:rPr>
        <w:t>交易</w:t>
      </w:r>
      <w:r>
        <w:rPr>
          <w:rFonts w:hint="eastAsia" w:ascii="仿宋_GB2312" w:hAnsi="仿宋_GB2312" w:eastAsia="仿宋_GB2312" w:cs="仿宋_GB2312"/>
          <w:color w:val="auto"/>
          <w:spacing w:val="2"/>
          <w:w w:val="100"/>
          <w:highlight w:val="none"/>
          <w:lang w:eastAsia="zh-CN"/>
        </w:rPr>
        <w:t>中</w:t>
      </w:r>
      <w:r>
        <w:rPr>
          <w:rFonts w:hint="eastAsia" w:ascii="仿宋_GB2312" w:hAnsi="仿宋_GB2312" w:eastAsia="仿宋_GB2312" w:cs="仿宋_GB2312"/>
          <w:color w:val="auto"/>
          <w:w w:val="100"/>
          <w:highlight w:val="none"/>
          <w:lang w:eastAsia="zh-CN"/>
        </w:rPr>
        <w:t>心统一组</w:t>
      </w:r>
      <w:r>
        <w:rPr>
          <w:rFonts w:hint="eastAsia" w:ascii="仿宋_GB2312" w:hAnsi="仿宋_GB2312" w:eastAsia="仿宋_GB2312" w:cs="仿宋_GB2312"/>
          <w:color w:val="auto"/>
          <w:spacing w:val="1"/>
          <w:w w:val="100"/>
          <w:highlight w:val="none"/>
          <w:lang w:eastAsia="zh-CN"/>
        </w:rPr>
        <w:t>织</w:t>
      </w:r>
      <w:r>
        <w:rPr>
          <w:rFonts w:hint="eastAsia" w:ascii="仿宋_GB2312" w:hAnsi="仿宋_GB2312" w:eastAsia="仿宋_GB2312" w:cs="仿宋_GB2312"/>
          <w:color w:val="auto"/>
          <w:w w:val="100"/>
          <w:highlight w:val="none"/>
          <w:lang w:eastAsia="zh-CN"/>
        </w:rPr>
        <w:t>开放</w:t>
      </w:r>
      <w:r>
        <w:rPr>
          <w:rFonts w:hint="eastAsia" w:ascii="仿宋_GB2312" w:hAnsi="仿宋_GB2312" w:eastAsia="仿宋_GB2312" w:cs="仿宋_GB2312"/>
          <w:color w:val="auto"/>
          <w:spacing w:val="1"/>
          <w:w w:val="100"/>
          <w:highlight w:val="none"/>
          <w:lang w:eastAsia="zh-CN"/>
        </w:rPr>
        <w:t>交</w:t>
      </w:r>
      <w:r>
        <w:rPr>
          <w:rFonts w:hint="eastAsia" w:ascii="仿宋_GB2312" w:hAnsi="仿宋_GB2312" w:eastAsia="仿宋_GB2312" w:cs="仿宋_GB2312"/>
          <w:color w:val="auto"/>
          <w:w w:val="100"/>
          <w:highlight w:val="none"/>
          <w:lang w:eastAsia="zh-CN"/>
        </w:rPr>
        <w:t>易的</w:t>
      </w:r>
      <w:r>
        <w:rPr>
          <w:rFonts w:hint="eastAsia" w:ascii="仿宋_GB2312" w:hAnsi="仿宋_GB2312" w:eastAsia="仿宋_GB2312" w:cs="仿宋_GB2312"/>
          <w:color w:val="auto"/>
          <w:spacing w:val="1"/>
          <w:w w:val="100"/>
          <w:highlight w:val="none"/>
          <w:lang w:eastAsia="zh-CN"/>
        </w:rPr>
        <w:t>日</w:t>
      </w:r>
      <w:r>
        <w:rPr>
          <w:rFonts w:hint="eastAsia" w:ascii="仿宋_GB2312" w:hAnsi="仿宋_GB2312" w:eastAsia="仿宋_GB2312" w:cs="仿宋_GB2312"/>
          <w:color w:val="auto"/>
          <w:w w:val="100"/>
          <w:highlight w:val="none"/>
          <w:lang w:eastAsia="zh-CN"/>
        </w:rPr>
        <w:t>历日</w:t>
      </w:r>
      <w:r>
        <w:rPr>
          <w:rFonts w:hint="eastAsia" w:ascii="仿宋_GB2312" w:hAnsi="仿宋_GB2312" w:eastAsia="仿宋_GB2312" w:cs="仿宋_GB2312"/>
          <w:color w:val="auto"/>
          <w:spacing w:val="-5"/>
          <w:w w:val="100"/>
          <w:highlight w:val="none"/>
          <w:lang w:eastAsia="zh-CN"/>
        </w:rPr>
        <w:t>；</w:t>
      </w:r>
      <w:r>
        <w:rPr>
          <w:rFonts w:hint="eastAsia" w:ascii="仿宋_GB2312" w:hAnsi="仿宋_GB2312" w:eastAsia="仿宋_GB2312" w:cs="仿宋_GB2312"/>
          <w:color w:val="auto"/>
          <w:w w:val="100"/>
          <w:highlight w:val="none"/>
          <w:lang w:eastAsia="zh-CN"/>
        </w:rPr>
        <w:t>对</w:t>
      </w:r>
      <w:r>
        <w:rPr>
          <w:rFonts w:hint="eastAsia" w:ascii="仿宋_GB2312" w:hAnsi="仿宋_GB2312" w:eastAsia="仿宋_GB2312" w:cs="仿宋_GB2312"/>
          <w:color w:val="auto"/>
          <w:spacing w:val="1"/>
          <w:w w:val="100"/>
          <w:highlight w:val="none"/>
          <w:lang w:eastAsia="zh-CN"/>
        </w:rPr>
        <w:t>中</w:t>
      </w:r>
      <w:r>
        <w:rPr>
          <w:rFonts w:hint="eastAsia" w:ascii="仿宋_GB2312" w:hAnsi="仿宋_GB2312" w:eastAsia="仿宋_GB2312" w:cs="仿宋_GB2312"/>
          <w:color w:val="auto"/>
          <w:w w:val="100"/>
          <w:highlight w:val="none"/>
          <w:lang w:eastAsia="zh-CN"/>
        </w:rPr>
        <w:t>长期</w:t>
      </w:r>
      <w:r>
        <w:rPr>
          <w:rFonts w:hint="eastAsia" w:ascii="仿宋_GB2312" w:hAnsi="仿宋_GB2312" w:eastAsia="仿宋_GB2312" w:cs="仿宋_GB2312"/>
          <w:color w:val="auto"/>
          <w:spacing w:val="1"/>
          <w:w w:val="100"/>
          <w:highlight w:val="none"/>
          <w:lang w:eastAsia="zh-CN"/>
        </w:rPr>
        <w:t>双</w:t>
      </w:r>
      <w:r>
        <w:rPr>
          <w:rFonts w:hint="eastAsia" w:ascii="仿宋_GB2312" w:hAnsi="仿宋_GB2312" w:eastAsia="仿宋_GB2312" w:cs="仿宋_GB2312"/>
          <w:color w:val="auto"/>
          <w:w w:val="100"/>
          <w:highlight w:val="none"/>
          <w:lang w:eastAsia="zh-CN"/>
        </w:rPr>
        <w:t>边协</w:t>
      </w:r>
      <w:r>
        <w:rPr>
          <w:rFonts w:hint="eastAsia" w:ascii="仿宋_GB2312" w:hAnsi="仿宋_GB2312" w:eastAsia="仿宋_GB2312" w:cs="仿宋_GB2312"/>
          <w:color w:val="auto"/>
          <w:spacing w:val="1"/>
          <w:w w:val="100"/>
          <w:highlight w:val="none"/>
          <w:lang w:eastAsia="zh-CN"/>
        </w:rPr>
        <w:t>商</w:t>
      </w:r>
      <w:r>
        <w:rPr>
          <w:rFonts w:hint="eastAsia" w:ascii="仿宋_GB2312" w:hAnsi="仿宋_GB2312" w:eastAsia="仿宋_GB2312" w:cs="仿宋_GB2312"/>
          <w:color w:val="auto"/>
          <w:w w:val="100"/>
          <w:highlight w:val="none"/>
          <w:lang w:eastAsia="zh-CN"/>
        </w:rPr>
        <w:t>交易</w:t>
      </w:r>
      <w:r>
        <w:rPr>
          <w:rFonts w:hint="eastAsia" w:ascii="仿宋_GB2312" w:hAnsi="仿宋_GB2312" w:eastAsia="仿宋_GB2312" w:cs="仿宋_GB2312"/>
          <w:color w:val="auto"/>
          <w:spacing w:val="-7"/>
          <w:w w:val="100"/>
          <w:highlight w:val="none"/>
          <w:lang w:eastAsia="zh-CN"/>
        </w:rPr>
        <w:t>，</w:t>
      </w:r>
      <w:r>
        <w:rPr>
          <w:rFonts w:hint="eastAsia" w:ascii="仿宋_GB2312" w:hAnsi="仿宋_GB2312" w:eastAsia="仿宋_GB2312" w:cs="仿宋_GB2312"/>
          <w:color w:val="auto"/>
          <w:w w:val="100"/>
          <w:highlight w:val="none"/>
          <w:lang w:eastAsia="zh-CN"/>
        </w:rPr>
        <w:t>是</w:t>
      </w:r>
      <w:r>
        <w:rPr>
          <w:rFonts w:hint="eastAsia" w:ascii="仿宋_GB2312" w:hAnsi="仿宋_GB2312" w:eastAsia="仿宋_GB2312" w:cs="仿宋_GB2312"/>
          <w:color w:val="auto"/>
          <w:spacing w:val="1"/>
          <w:w w:val="100"/>
          <w:highlight w:val="none"/>
          <w:lang w:eastAsia="zh-CN"/>
        </w:rPr>
        <w:t>指</w:t>
      </w:r>
      <w:r>
        <w:rPr>
          <w:rFonts w:hint="eastAsia" w:ascii="仿宋_GB2312" w:hAnsi="仿宋_GB2312" w:eastAsia="仿宋_GB2312" w:cs="仿宋_GB2312"/>
          <w:color w:val="auto"/>
          <w:w w:val="100"/>
          <w:highlight w:val="none"/>
          <w:lang w:eastAsia="zh-CN"/>
        </w:rPr>
        <w:t>交易申</w:t>
      </w:r>
      <w:r>
        <w:rPr>
          <w:rFonts w:hint="eastAsia" w:ascii="仿宋_GB2312" w:hAnsi="仿宋_GB2312" w:eastAsia="仿宋_GB2312" w:cs="仿宋_GB2312"/>
          <w:color w:val="auto"/>
          <w:spacing w:val="2"/>
          <w:w w:val="100"/>
          <w:highlight w:val="none"/>
          <w:lang w:eastAsia="zh-CN"/>
        </w:rPr>
        <w:t>报</w:t>
      </w:r>
      <w:r>
        <w:rPr>
          <w:rFonts w:hint="eastAsia" w:ascii="仿宋_GB2312" w:hAnsi="仿宋_GB2312" w:eastAsia="仿宋_GB2312" w:cs="仿宋_GB2312"/>
          <w:color w:val="auto"/>
          <w:w w:val="100"/>
          <w:highlight w:val="none"/>
          <w:lang w:eastAsia="zh-CN"/>
        </w:rPr>
        <w:t>与确</w:t>
      </w:r>
      <w:r>
        <w:rPr>
          <w:rFonts w:hint="eastAsia" w:ascii="仿宋_GB2312" w:hAnsi="仿宋_GB2312" w:eastAsia="仿宋_GB2312" w:cs="仿宋_GB2312"/>
          <w:color w:val="auto"/>
          <w:spacing w:val="2"/>
          <w:w w:val="100"/>
          <w:highlight w:val="none"/>
          <w:lang w:eastAsia="zh-CN"/>
        </w:rPr>
        <w:t>认</w:t>
      </w:r>
      <w:r>
        <w:rPr>
          <w:rFonts w:hint="eastAsia" w:ascii="仿宋_GB2312" w:hAnsi="仿宋_GB2312" w:eastAsia="仿宋_GB2312" w:cs="仿宋_GB2312"/>
          <w:color w:val="auto"/>
          <w:w w:val="100"/>
          <w:highlight w:val="none"/>
          <w:lang w:eastAsia="zh-CN"/>
        </w:rPr>
        <w:t>的日</w:t>
      </w:r>
      <w:r>
        <w:rPr>
          <w:rFonts w:hint="eastAsia" w:ascii="仿宋_GB2312" w:hAnsi="仿宋_GB2312" w:eastAsia="仿宋_GB2312" w:cs="仿宋_GB2312"/>
          <w:color w:val="auto"/>
          <w:spacing w:val="2"/>
          <w:w w:val="100"/>
          <w:highlight w:val="none"/>
          <w:lang w:eastAsia="zh-CN"/>
        </w:rPr>
        <w:t>历</w:t>
      </w:r>
      <w:r>
        <w:rPr>
          <w:rFonts w:hint="eastAsia" w:ascii="仿宋_GB2312" w:hAnsi="仿宋_GB2312" w:eastAsia="仿宋_GB2312" w:cs="仿宋_GB2312"/>
          <w:color w:val="auto"/>
          <w:w w:val="100"/>
          <w:highlight w:val="none"/>
          <w:lang w:eastAsia="zh-CN"/>
        </w:rPr>
        <w:t>日。</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w w:val="100"/>
          <w:highlight w:val="none"/>
          <w:lang w:val="en-US" w:eastAsia="zh-CN"/>
        </w:rPr>
        <w:t>5</w:t>
      </w:r>
      <w:r>
        <w:rPr>
          <w:rFonts w:hint="eastAsia" w:ascii="仿宋_GB2312" w:hAnsi="仿宋_GB2312" w:eastAsia="仿宋_GB2312" w:cs="仿宋_GB2312"/>
          <w:color w:val="auto"/>
          <w:w w:val="100"/>
          <w:highlight w:val="none"/>
          <w:lang w:eastAsia="zh-CN"/>
        </w:rPr>
        <w:t>）合同周期。指合同的起止时间，以日历日为基本单位。</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1"/>
          <w:w w:val="100"/>
          <w:highlight w:val="none"/>
          <w:lang w:val="en-US" w:eastAsia="zh-CN"/>
        </w:rPr>
        <w:t>6</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1"/>
          <w:w w:val="100"/>
          <w:highlight w:val="none"/>
          <w:lang w:eastAsia="zh-CN"/>
        </w:rPr>
        <w:t>结算参考点。指经营主体购售双方约定中长期合同的交割电量、电价的唯一节点。</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1"/>
          <w:w w:val="100"/>
          <w:highlight w:val="none"/>
          <w:lang w:val="en-US" w:eastAsia="zh-CN"/>
        </w:rPr>
        <w:t>7</w:t>
      </w: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2"/>
          <w:w w:val="100"/>
          <w:highlight w:val="none"/>
          <w:lang w:eastAsia="zh-CN"/>
        </w:rPr>
        <w:t>市</w:t>
      </w:r>
      <w:r>
        <w:rPr>
          <w:rFonts w:hint="eastAsia" w:ascii="仿宋_GB2312" w:hAnsi="仿宋_GB2312" w:eastAsia="仿宋_GB2312" w:cs="仿宋_GB2312"/>
          <w:color w:val="auto"/>
          <w:w w:val="100"/>
          <w:highlight w:val="none"/>
          <w:lang w:eastAsia="zh-CN"/>
        </w:rPr>
        <w:t>场合同电</w:t>
      </w:r>
      <w:r>
        <w:rPr>
          <w:rFonts w:hint="eastAsia" w:ascii="仿宋_GB2312" w:hAnsi="仿宋_GB2312" w:eastAsia="仿宋_GB2312" w:cs="仿宋_GB2312"/>
          <w:color w:val="auto"/>
          <w:spacing w:val="2"/>
          <w:w w:val="100"/>
          <w:highlight w:val="none"/>
          <w:lang w:eastAsia="zh-CN"/>
        </w:rPr>
        <w:t>量</w:t>
      </w:r>
      <w:r>
        <w:rPr>
          <w:rFonts w:hint="eastAsia" w:ascii="仿宋_GB2312" w:hAnsi="仿宋_GB2312" w:eastAsia="仿宋_GB2312" w:cs="仿宋_GB2312"/>
          <w:color w:val="auto"/>
          <w:w w:val="100"/>
          <w:highlight w:val="none"/>
          <w:lang w:eastAsia="zh-CN"/>
        </w:rPr>
        <w:t>，指</w:t>
      </w:r>
      <w:r>
        <w:rPr>
          <w:rFonts w:hint="eastAsia" w:ascii="仿宋_GB2312" w:hAnsi="仿宋_GB2312" w:eastAsia="仿宋_GB2312" w:cs="仿宋_GB2312"/>
          <w:color w:val="auto"/>
          <w:spacing w:val="2"/>
          <w:w w:val="100"/>
          <w:highlight w:val="none"/>
          <w:lang w:eastAsia="zh-CN"/>
        </w:rPr>
        <w:t>经营主体</w:t>
      </w:r>
      <w:r>
        <w:rPr>
          <w:rFonts w:hint="eastAsia" w:ascii="仿宋_GB2312" w:hAnsi="仿宋_GB2312" w:eastAsia="仿宋_GB2312" w:cs="仿宋_GB2312"/>
          <w:color w:val="auto"/>
          <w:w w:val="100"/>
          <w:highlight w:val="none"/>
          <w:lang w:eastAsia="zh-CN"/>
        </w:rPr>
        <w:t>在中</w:t>
      </w:r>
      <w:r>
        <w:rPr>
          <w:rFonts w:hint="eastAsia" w:ascii="仿宋_GB2312" w:hAnsi="仿宋_GB2312" w:eastAsia="仿宋_GB2312" w:cs="仿宋_GB2312"/>
          <w:color w:val="auto"/>
          <w:spacing w:val="2"/>
          <w:w w:val="100"/>
          <w:highlight w:val="none"/>
          <w:lang w:eastAsia="zh-CN"/>
        </w:rPr>
        <w:t>长</w:t>
      </w:r>
      <w:r>
        <w:rPr>
          <w:rFonts w:hint="eastAsia" w:ascii="仿宋_GB2312" w:hAnsi="仿宋_GB2312" w:eastAsia="仿宋_GB2312" w:cs="仿宋_GB2312"/>
          <w:color w:val="auto"/>
          <w:w w:val="100"/>
          <w:highlight w:val="none"/>
          <w:lang w:eastAsia="zh-CN"/>
        </w:rPr>
        <w:t>期市</w:t>
      </w:r>
      <w:r>
        <w:rPr>
          <w:rFonts w:hint="eastAsia" w:ascii="仿宋_GB2312" w:hAnsi="仿宋_GB2312" w:eastAsia="仿宋_GB2312" w:cs="仿宋_GB2312"/>
          <w:color w:val="auto"/>
          <w:spacing w:val="2"/>
          <w:w w:val="100"/>
          <w:highlight w:val="none"/>
          <w:lang w:eastAsia="zh-CN"/>
        </w:rPr>
        <w:t>场</w:t>
      </w:r>
      <w:r>
        <w:rPr>
          <w:rFonts w:hint="eastAsia" w:ascii="仿宋_GB2312" w:hAnsi="仿宋_GB2312" w:eastAsia="仿宋_GB2312" w:cs="仿宋_GB2312"/>
          <w:color w:val="auto"/>
          <w:w w:val="100"/>
          <w:highlight w:val="none"/>
          <w:lang w:eastAsia="zh-CN"/>
        </w:rPr>
        <w:t>中所成交</w:t>
      </w:r>
      <w:r>
        <w:rPr>
          <w:rFonts w:hint="eastAsia" w:ascii="仿宋_GB2312" w:hAnsi="仿宋_GB2312" w:eastAsia="仿宋_GB2312" w:cs="仿宋_GB2312"/>
          <w:color w:val="auto"/>
          <w:spacing w:val="2"/>
          <w:w w:val="100"/>
          <w:highlight w:val="none"/>
          <w:lang w:eastAsia="zh-CN"/>
        </w:rPr>
        <w:t>的</w:t>
      </w:r>
      <w:r>
        <w:rPr>
          <w:rFonts w:hint="eastAsia" w:ascii="仿宋_GB2312" w:hAnsi="仿宋_GB2312" w:eastAsia="仿宋_GB2312" w:cs="仿宋_GB2312"/>
          <w:color w:val="auto"/>
          <w:w w:val="100"/>
          <w:highlight w:val="none"/>
          <w:lang w:eastAsia="zh-CN"/>
        </w:rPr>
        <w:t>市</w:t>
      </w:r>
      <w:r>
        <w:rPr>
          <w:rFonts w:hint="eastAsia" w:ascii="仿宋_GB2312" w:hAnsi="仿宋_GB2312" w:eastAsia="仿宋_GB2312" w:cs="仿宋_GB2312"/>
          <w:color w:val="auto"/>
          <w:spacing w:val="2"/>
          <w:w w:val="100"/>
          <w:highlight w:val="none"/>
          <w:lang w:eastAsia="zh-CN"/>
        </w:rPr>
        <w:t>场</w:t>
      </w:r>
      <w:r>
        <w:rPr>
          <w:rFonts w:hint="eastAsia" w:ascii="仿宋_GB2312" w:hAnsi="仿宋_GB2312" w:eastAsia="仿宋_GB2312" w:cs="仿宋_GB2312"/>
          <w:color w:val="auto"/>
          <w:w w:val="100"/>
          <w:highlight w:val="none"/>
          <w:lang w:eastAsia="zh-CN"/>
        </w:rPr>
        <w:t>化电</w:t>
      </w:r>
      <w:r>
        <w:rPr>
          <w:rFonts w:hint="eastAsia" w:ascii="仿宋_GB2312" w:hAnsi="仿宋_GB2312" w:eastAsia="仿宋_GB2312" w:cs="仿宋_GB2312"/>
          <w:color w:val="auto"/>
          <w:spacing w:val="2"/>
          <w:w w:val="100"/>
          <w:highlight w:val="none"/>
          <w:lang w:eastAsia="zh-CN"/>
        </w:rPr>
        <w:t>量</w:t>
      </w:r>
      <w:r>
        <w:rPr>
          <w:rFonts w:hint="eastAsia" w:ascii="仿宋_GB2312" w:hAnsi="仿宋_GB2312" w:eastAsia="仿宋_GB2312" w:cs="仿宋_GB2312"/>
          <w:color w:val="auto"/>
          <w:w w:val="100"/>
          <w:highlight w:val="none"/>
          <w:lang w:eastAsia="zh-CN"/>
        </w:rPr>
        <w:t>。</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spacing w:val="-1"/>
          <w:w w:val="100"/>
          <w:highlight w:val="none"/>
          <w:lang w:val="en-US" w:eastAsia="zh-CN"/>
        </w:rPr>
        <w:t>8</w:t>
      </w:r>
      <w:r>
        <w:rPr>
          <w:rFonts w:hint="eastAsia" w:ascii="仿宋_GB2312" w:hAnsi="仿宋_GB2312" w:eastAsia="仿宋_GB2312" w:cs="仿宋_GB2312"/>
          <w:color w:val="auto"/>
          <w:spacing w:val="1"/>
          <w:w w:val="100"/>
          <w:highlight w:val="none"/>
          <w:lang w:eastAsia="zh-CN"/>
        </w:rPr>
        <w:t>）</w:t>
      </w:r>
      <w:r>
        <w:rPr>
          <w:rFonts w:hint="eastAsia" w:ascii="仿宋_GB2312" w:hAnsi="仿宋_GB2312" w:eastAsia="仿宋_GB2312" w:cs="仿宋_GB2312"/>
          <w:color w:val="auto"/>
          <w:w w:val="100"/>
          <w:highlight w:val="none"/>
          <w:lang w:eastAsia="zh-CN"/>
        </w:rPr>
        <w:t>电</w:t>
      </w:r>
      <w:r>
        <w:rPr>
          <w:rFonts w:hint="eastAsia" w:ascii="仿宋_GB2312" w:hAnsi="仿宋_GB2312" w:eastAsia="仿宋_GB2312" w:cs="仿宋_GB2312"/>
          <w:color w:val="auto"/>
          <w:spacing w:val="1"/>
          <w:w w:val="100"/>
          <w:highlight w:val="none"/>
          <w:lang w:eastAsia="zh-CN"/>
        </w:rPr>
        <w:t>网</w:t>
      </w:r>
      <w:r>
        <w:rPr>
          <w:rFonts w:hint="eastAsia" w:ascii="仿宋_GB2312" w:hAnsi="仿宋_GB2312" w:eastAsia="仿宋_GB2312" w:cs="仿宋_GB2312"/>
          <w:color w:val="auto"/>
          <w:w w:val="100"/>
          <w:highlight w:val="none"/>
          <w:lang w:eastAsia="zh-CN"/>
        </w:rPr>
        <w:t>代购</w:t>
      </w:r>
      <w:r>
        <w:rPr>
          <w:rFonts w:hint="eastAsia" w:ascii="仿宋_GB2312" w:hAnsi="仿宋_GB2312" w:eastAsia="仿宋_GB2312" w:cs="仿宋_GB2312"/>
          <w:color w:val="auto"/>
          <w:spacing w:val="1"/>
          <w:w w:val="100"/>
          <w:highlight w:val="none"/>
          <w:lang w:eastAsia="zh-CN"/>
        </w:rPr>
        <w:t>市</w:t>
      </w:r>
      <w:r>
        <w:rPr>
          <w:rFonts w:hint="eastAsia" w:ascii="仿宋_GB2312" w:hAnsi="仿宋_GB2312" w:eastAsia="仿宋_GB2312" w:cs="仿宋_GB2312"/>
          <w:color w:val="auto"/>
          <w:w w:val="100"/>
          <w:highlight w:val="none"/>
          <w:lang w:eastAsia="zh-CN"/>
        </w:rPr>
        <w:t>场电量合同，指</w:t>
      </w:r>
      <w:r>
        <w:rPr>
          <w:rFonts w:hint="eastAsia" w:ascii="仿宋_GB2312" w:hAnsi="仿宋_GB2312" w:eastAsia="仿宋_GB2312" w:cs="仿宋_GB2312"/>
          <w:color w:val="auto"/>
          <w:spacing w:val="1"/>
          <w:w w:val="100"/>
          <w:highlight w:val="none"/>
          <w:lang w:eastAsia="zh-CN"/>
        </w:rPr>
        <w:t>电</w:t>
      </w:r>
      <w:r>
        <w:rPr>
          <w:rFonts w:hint="eastAsia" w:ascii="仿宋_GB2312" w:hAnsi="仿宋_GB2312" w:eastAsia="仿宋_GB2312" w:cs="仿宋_GB2312"/>
          <w:color w:val="auto"/>
          <w:w w:val="100"/>
          <w:highlight w:val="none"/>
          <w:lang w:eastAsia="zh-CN"/>
        </w:rPr>
        <w:t>网企</w:t>
      </w:r>
      <w:r>
        <w:rPr>
          <w:rFonts w:hint="eastAsia" w:ascii="仿宋_GB2312" w:hAnsi="仿宋_GB2312" w:eastAsia="仿宋_GB2312" w:cs="仿宋_GB2312"/>
          <w:color w:val="auto"/>
          <w:spacing w:val="1"/>
          <w:w w:val="100"/>
          <w:highlight w:val="none"/>
          <w:lang w:eastAsia="zh-CN"/>
        </w:rPr>
        <w:t>业</w:t>
      </w:r>
      <w:r>
        <w:rPr>
          <w:rFonts w:hint="eastAsia" w:ascii="仿宋_GB2312" w:hAnsi="仿宋_GB2312" w:eastAsia="仿宋_GB2312" w:cs="仿宋_GB2312"/>
          <w:color w:val="auto"/>
          <w:w w:val="100"/>
          <w:highlight w:val="none"/>
          <w:lang w:eastAsia="zh-CN"/>
        </w:rPr>
        <w:t>为满</w:t>
      </w:r>
      <w:r>
        <w:rPr>
          <w:rFonts w:hint="eastAsia" w:ascii="仿宋_GB2312" w:hAnsi="仿宋_GB2312" w:eastAsia="仿宋_GB2312" w:cs="仿宋_GB2312"/>
          <w:color w:val="auto"/>
          <w:spacing w:val="1"/>
          <w:w w:val="100"/>
          <w:highlight w:val="none"/>
          <w:lang w:eastAsia="zh-CN"/>
        </w:rPr>
        <w:t>足</w:t>
      </w:r>
      <w:r>
        <w:rPr>
          <w:rFonts w:hint="eastAsia" w:ascii="仿宋_GB2312" w:hAnsi="仿宋_GB2312" w:eastAsia="仿宋_GB2312" w:cs="仿宋_GB2312"/>
          <w:color w:val="auto"/>
          <w:w w:val="100"/>
          <w:highlight w:val="none"/>
          <w:lang w:eastAsia="zh-CN"/>
        </w:rPr>
        <w:t>代理购</w:t>
      </w:r>
      <w:r>
        <w:rPr>
          <w:rFonts w:hint="eastAsia" w:ascii="仿宋_GB2312" w:hAnsi="仿宋_GB2312" w:eastAsia="仿宋_GB2312" w:cs="仿宋_GB2312"/>
          <w:color w:val="auto"/>
          <w:spacing w:val="2"/>
          <w:w w:val="100"/>
          <w:highlight w:val="none"/>
          <w:lang w:eastAsia="zh-CN"/>
        </w:rPr>
        <w:t>电</w:t>
      </w:r>
      <w:r>
        <w:rPr>
          <w:rFonts w:hint="eastAsia" w:ascii="仿宋_GB2312" w:hAnsi="仿宋_GB2312" w:eastAsia="仿宋_GB2312" w:cs="仿宋_GB2312"/>
          <w:color w:val="auto"/>
          <w:w w:val="100"/>
          <w:highlight w:val="none"/>
          <w:lang w:eastAsia="zh-CN"/>
        </w:rPr>
        <w:t>用户</w:t>
      </w:r>
      <w:r>
        <w:rPr>
          <w:rFonts w:hint="eastAsia" w:ascii="仿宋_GB2312" w:hAnsi="仿宋_GB2312" w:eastAsia="仿宋_GB2312" w:cs="仿宋_GB2312"/>
          <w:color w:val="auto"/>
          <w:spacing w:val="2"/>
          <w:w w:val="100"/>
          <w:highlight w:val="none"/>
          <w:lang w:eastAsia="zh-CN"/>
        </w:rPr>
        <w:t>需</w:t>
      </w:r>
      <w:r>
        <w:rPr>
          <w:rFonts w:hint="eastAsia" w:ascii="仿宋_GB2312" w:hAnsi="仿宋_GB2312" w:eastAsia="仿宋_GB2312" w:cs="仿宋_GB2312"/>
          <w:color w:val="auto"/>
          <w:w w:val="100"/>
          <w:highlight w:val="none"/>
          <w:lang w:eastAsia="zh-CN"/>
        </w:rPr>
        <w:t>求，</w:t>
      </w:r>
      <w:r>
        <w:rPr>
          <w:rFonts w:hint="eastAsia" w:ascii="仿宋_GB2312" w:hAnsi="仿宋_GB2312" w:eastAsia="仿宋_GB2312" w:cs="仿宋_GB2312"/>
          <w:color w:val="auto"/>
          <w:spacing w:val="2"/>
          <w:w w:val="100"/>
          <w:highlight w:val="none"/>
          <w:lang w:eastAsia="zh-CN"/>
        </w:rPr>
        <w:t>从</w:t>
      </w:r>
      <w:r>
        <w:rPr>
          <w:rFonts w:hint="eastAsia" w:ascii="仿宋_GB2312" w:hAnsi="仿宋_GB2312" w:eastAsia="仿宋_GB2312" w:cs="仿宋_GB2312"/>
          <w:color w:val="auto"/>
          <w:w w:val="100"/>
          <w:highlight w:val="none"/>
          <w:lang w:eastAsia="zh-CN"/>
        </w:rPr>
        <w:t>市场</w:t>
      </w:r>
      <w:r>
        <w:rPr>
          <w:rFonts w:hint="eastAsia" w:ascii="仿宋_GB2312" w:hAnsi="仿宋_GB2312" w:eastAsia="仿宋_GB2312" w:cs="仿宋_GB2312"/>
          <w:color w:val="auto"/>
          <w:spacing w:val="2"/>
          <w:w w:val="100"/>
          <w:highlight w:val="none"/>
          <w:lang w:eastAsia="zh-CN"/>
        </w:rPr>
        <w:t>机</w:t>
      </w:r>
      <w:r>
        <w:rPr>
          <w:rFonts w:hint="eastAsia" w:ascii="仿宋_GB2312" w:hAnsi="仿宋_GB2312" w:eastAsia="仿宋_GB2312" w:cs="仿宋_GB2312"/>
          <w:color w:val="auto"/>
          <w:w w:val="100"/>
          <w:highlight w:val="none"/>
          <w:lang w:eastAsia="zh-CN"/>
        </w:rPr>
        <w:t>组购</w:t>
      </w:r>
      <w:r>
        <w:rPr>
          <w:rFonts w:hint="eastAsia" w:ascii="仿宋_GB2312" w:hAnsi="仿宋_GB2312" w:eastAsia="仿宋_GB2312" w:cs="仿宋_GB2312"/>
          <w:color w:val="auto"/>
          <w:spacing w:val="2"/>
          <w:w w:val="100"/>
          <w:highlight w:val="none"/>
          <w:lang w:eastAsia="zh-CN"/>
        </w:rPr>
        <w:t>买</w:t>
      </w:r>
      <w:r>
        <w:rPr>
          <w:rFonts w:hint="eastAsia" w:ascii="仿宋_GB2312" w:hAnsi="仿宋_GB2312" w:eastAsia="仿宋_GB2312" w:cs="仿宋_GB2312"/>
          <w:color w:val="auto"/>
          <w:w w:val="100"/>
          <w:highlight w:val="none"/>
          <w:lang w:eastAsia="zh-CN"/>
        </w:rPr>
        <w:t>并接</w:t>
      </w:r>
      <w:r>
        <w:rPr>
          <w:rFonts w:hint="eastAsia" w:ascii="仿宋_GB2312" w:hAnsi="仿宋_GB2312" w:eastAsia="仿宋_GB2312" w:cs="仿宋_GB2312"/>
          <w:color w:val="auto"/>
          <w:spacing w:val="2"/>
          <w:w w:val="100"/>
          <w:highlight w:val="none"/>
          <w:lang w:eastAsia="zh-CN"/>
        </w:rPr>
        <w:t>受</w:t>
      </w:r>
      <w:r>
        <w:rPr>
          <w:rFonts w:hint="eastAsia" w:ascii="仿宋_GB2312" w:hAnsi="仿宋_GB2312" w:eastAsia="仿宋_GB2312" w:cs="仿宋_GB2312"/>
          <w:color w:val="auto"/>
          <w:w w:val="100"/>
          <w:highlight w:val="none"/>
          <w:lang w:eastAsia="zh-CN"/>
        </w:rPr>
        <w:t>市场</w:t>
      </w:r>
      <w:r>
        <w:rPr>
          <w:rFonts w:hint="eastAsia" w:ascii="仿宋_GB2312" w:hAnsi="仿宋_GB2312" w:eastAsia="仿宋_GB2312" w:cs="仿宋_GB2312"/>
          <w:color w:val="auto"/>
          <w:spacing w:val="2"/>
          <w:w w:val="100"/>
          <w:highlight w:val="none"/>
          <w:lang w:eastAsia="zh-CN"/>
        </w:rPr>
        <w:t>价</w:t>
      </w:r>
      <w:r>
        <w:rPr>
          <w:rFonts w:hint="eastAsia" w:ascii="仿宋_GB2312" w:hAnsi="仿宋_GB2312" w:eastAsia="仿宋_GB2312" w:cs="仿宋_GB2312"/>
          <w:color w:val="auto"/>
          <w:w w:val="100"/>
          <w:highlight w:val="none"/>
          <w:lang w:eastAsia="zh-CN"/>
        </w:rPr>
        <w:t>格的</w:t>
      </w:r>
      <w:r>
        <w:rPr>
          <w:rFonts w:hint="eastAsia" w:ascii="仿宋_GB2312" w:hAnsi="仿宋_GB2312" w:eastAsia="仿宋_GB2312" w:cs="仿宋_GB2312"/>
          <w:color w:val="auto"/>
          <w:spacing w:val="2"/>
          <w:w w:val="100"/>
          <w:highlight w:val="none"/>
          <w:lang w:eastAsia="zh-CN"/>
        </w:rPr>
        <w:t>电</w:t>
      </w:r>
      <w:r>
        <w:rPr>
          <w:rFonts w:hint="eastAsia" w:ascii="仿宋_GB2312" w:hAnsi="仿宋_GB2312" w:eastAsia="仿宋_GB2312" w:cs="仿宋_GB2312"/>
          <w:color w:val="auto"/>
          <w:w w:val="100"/>
          <w:highlight w:val="none"/>
          <w:lang w:eastAsia="zh-CN"/>
        </w:rPr>
        <w:t>量合同。</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w:t>
      </w:r>
      <w:r>
        <w:rPr>
          <w:rFonts w:hint="eastAsia" w:ascii="仿宋_GB2312" w:hAnsi="仿宋_GB2312" w:eastAsia="仿宋_GB2312" w:cs="仿宋_GB2312"/>
          <w:color w:val="auto"/>
          <w:w w:val="100"/>
          <w:highlight w:val="none"/>
          <w:lang w:val="en-US" w:eastAsia="zh-CN"/>
        </w:rPr>
        <w:t>9</w:t>
      </w:r>
      <w:r>
        <w:rPr>
          <w:rFonts w:hint="eastAsia" w:ascii="仿宋_GB2312" w:hAnsi="仿宋_GB2312" w:eastAsia="仿宋_GB2312" w:cs="仿宋_GB2312"/>
          <w:color w:val="auto"/>
          <w:w w:val="100"/>
          <w:highlight w:val="none"/>
          <w:lang w:eastAsia="zh-CN"/>
        </w:rPr>
        <w:t>）交</w:t>
      </w:r>
      <w:r>
        <w:rPr>
          <w:rFonts w:hint="eastAsia" w:ascii="仿宋_GB2312" w:hAnsi="仿宋_GB2312" w:eastAsia="仿宋_GB2312" w:cs="仿宋_GB2312"/>
          <w:color w:val="auto"/>
          <w:spacing w:val="1"/>
          <w:w w:val="100"/>
          <w:highlight w:val="none"/>
          <w:lang w:eastAsia="zh-CN"/>
        </w:rPr>
        <w:t>易</w:t>
      </w:r>
      <w:r>
        <w:rPr>
          <w:rFonts w:hint="eastAsia" w:ascii="仿宋_GB2312" w:hAnsi="仿宋_GB2312" w:eastAsia="仿宋_GB2312" w:cs="仿宋_GB2312"/>
          <w:color w:val="auto"/>
          <w:w w:val="100"/>
          <w:highlight w:val="none"/>
          <w:lang w:eastAsia="zh-CN"/>
        </w:rPr>
        <w:t>价</w:t>
      </w:r>
      <w:r>
        <w:rPr>
          <w:rFonts w:hint="eastAsia" w:ascii="仿宋_GB2312" w:hAnsi="仿宋_GB2312" w:eastAsia="仿宋_GB2312" w:cs="仿宋_GB2312"/>
          <w:color w:val="auto"/>
          <w:spacing w:val="1"/>
          <w:w w:val="100"/>
          <w:highlight w:val="none"/>
          <w:lang w:eastAsia="zh-CN"/>
        </w:rPr>
        <w:t>格</w:t>
      </w:r>
      <w:r>
        <w:rPr>
          <w:rFonts w:hint="eastAsia" w:ascii="仿宋_GB2312" w:hAnsi="仿宋_GB2312" w:eastAsia="仿宋_GB2312" w:cs="仿宋_GB2312"/>
          <w:color w:val="auto"/>
          <w:w w:val="100"/>
          <w:highlight w:val="none"/>
          <w:lang w:eastAsia="zh-CN"/>
        </w:rPr>
        <w:t>，指</w:t>
      </w:r>
      <w:r>
        <w:rPr>
          <w:rFonts w:hint="eastAsia" w:ascii="仿宋_GB2312" w:hAnsi="仿宋_GB2312" w:eastAsia="仿宋_GB2312" w:cs="仿宋_GB2312"/>
          <w:color w:val="auto"/>
          <w:spacing w:val="1"/>
          <w:w w:val="100"/>
          <w:highlight w:val="none"/>
          <w:lang w:eastAsia="zh-CN"/>
        </w:rPr>
        <w:t>经营主体</w:t>
      </w:r>
      <w:r>
        <w:rPr>
          <w:rFonts w:hint="eastAsia" w:ascii="仿宋_GB2312" w:hAnsi="仿宋_GB2312" w:eastAsia="仿宋_GB2312" w:cs="仿宋_GB2312"/>
          <w:color w:val="auto"/>
          <w:w w:val="100"/>
          <w:highlight w:val="none"/>
          <w:lang w:eastAsia="zh-CN"/>
        </w:rPr>
        <w:t>在参</w:t>
      </w:r>
      <w:r>
        <w:rPr>
          <w:rFonts w:hint="eastAsia" w:ascii="仿宋_GB2312" w:hAnsi="仿宋_GB2312" w:eastAsia="仿宋_GB2312" w:cs="仿宋_GB2312"/>
          <w:color w:val="auto"/>
          <w:spacing w:val="1"/>
          <w:w w:val="100"/>
          <w:highlight w:val="none"/>
          <w:lang w:eastAsia="zh-CN"/>
        </w:rPr>
        <w:t>加</w:t>
      </w:r>
      <w:r>
        <w:rPr>
          <w:rFonts w:hint="eastAsia" w:ascii="仿宋_GB2312" w:hAnsi="仿宋_GB2312" w:eastAsia="仿宋_GB2312" w:cs="仿宋_GB2312"/>
          <w:color w:val="auto"/>
          <w:w w:val="100"/>
          <w:highlight w:val="none"/>
          <w:lang w:eastAsia="zh-CN"/>
        </w:rPr>
        <w:t>中长</w:t>
      </w:r>
      <w:r>
        <w:rPr>
          <w:rFonts w:hint="eastAsia" w:ascii="仿宋_GB2312" w:hAnsi="仿宋_GB2312" w:eastAsia="仿宋_GB2312" w:cs="仿宋_GB2312"/>
          <w:color w:val="auto"/>
          <w:spacing w:val="1"/>
          <w:w w:val="100"/>
          <w:highlight w:val="none"/>
          <w:lang w:eastAsia="zh-CN"/>
        </w:rPr>
        <w:t>期</w:t>
      </w:r>
      <w:r>
        <w:rPr>
          <w:rFonts w:hint="eastAsia" w:ascii="仿宋_GB2312" w:hAnsi="仿宋_GB2312" w:eastAsia="仿宋_GB2312" w:cs="仿宋_GB2312"/>
          <w:color w:val="auto"/>
          <w:w w:val="100"/>
          <w:highlight w:val="none"/>
          <w:lang w:eastAsia="zh-CN"/>
        </w:rPr>
        <w:t>交</w:t>
      </w:r>
      <w:r>
        <w:rPr>
          <w:rFonts w:hint="eastAsia" w:ascii="仿宋_GB2312" w:hAnsi="仿宋_GB2312" w:eastAsia="仿宋_GB2312" w:cs="仿宋_GB2312"/>
          <w:color w:val="auto"/>
          <w:spacing w:val="1"/>
          <w:w w:val="100"/>
          <w:highlight w:val="none"/>
          <w:lang w:eastAsia="zh-CN"/>
        </w:rPr>
        <w:t>易</w:t>
      </w:r>
      <w:r>
        <w:rPr>
          <w:rFonts w:hint="eastAsia" w:ascii="仿宋_GB2312" w:hAnsi="仿宋_GB2312" w:eastAsia="仿宋_GB2312" w:cs="仿宋_GB2312"/>
          <w:color w:val="auto"/>
          <w:w w:val="100"/>
          <w:highlight w:val="none"/>
          <w:lang w:eastAsia="zh-CN"/>
        </w:rPr>
        <w:t>时成交的电</w:t>
      </w:r>
      <w:r>
        <w:rPr>
          <w:rFonts w:hint="eastAsia" w:ascii="仿宋_GB2312" w:hAnsi="仿宋_GB2312" w:eastAsia="仿宋_GB2312" w:cs="仿宋_GB2312"/>
          <w:color w:val="auto"/>
          <w:spacing w:val="2"/>
          <w:w w:val="100"/>
          <w:highlight w:val="none"/>
          <w:lang w:eastAsia="zh-CN"/>
        </w:rPr>
        <w:t>能</w:t>
      </w:r>
      <w:r>
        <w:rPr>
          <w:rFonts w:hint="eastAsia" w:ascii="仿宋_GB2312" w:hAnsi="仿宋_GB2312" w:eastAsia="仿宋_GB2312" w:cs="仿宋_GB2312"/>
          <w:color w:val="auto"/>
          <w:w w:val="100"/>
          <w:highlight w:val="none"/>
          <w:lang w:eastAsia="zh-CN"/>
        </w:rPr>
        <w:t>量价</w:t>
      </w:r>
      <w:r>
        <w:rPr>
          <w:rFonts w:hint="eastAsia" w:ascii="仿宋_GB2312" w:hAnsi="仿宋_GB2312" w:eastAsia="仿宋_GB2312" w:cs="仿宋_GB2312"/>
          <w:color w:val="auto"/>
          <w:spacing w:val="2"/>
          <w:w w:val="100"/>
          <w:highlight w:val="none"/>
          <w:lang w:eastAsia="zh-CN"/>
        </w:rPr>
        <w:t>格</w:t>
      </w:r>
      <w:r>
        <w:rPr>
          <w:rFonts w:hint="eastAsia" w:ascii="仿宋_GB2312" w:hAnsi="仿宋_GB2312" w:eastAsia="仿宋_GB2312" w:cs="仿宋_GB2312"/>
          <w:color w:val="auto"/>
          <w:w w:val="100"/>
          <w:highlight w:val="none"/>
          <w:lang w:eastAsia="zh-CN"/>
        </w:rPr>
        <w:t>，采</w:t>
      </w:r>
      <w:r>
        <w:rPr>
          <w:rFonts w:hint="eastAsia" w:ascii="仿宋_GB2312" w:hAnsi="仿宋_GB2312" w:eastAsia="仿宋_GB2312" w:cs="仿宋_GB2312"/>
          <w:color w:val="auto"/>
          <w:spacing w:val="2"/>
          <w:w w:val="100"/>
          <w:highlight w:val="none"/>
          <w:lang w:eastAsia="zh-CN"/>
        </w:rPr>
        <w:t>用</w:t>
      </w:r>
      <w:r>
        <w:rPr>
          <w:rFonts w:hint="eastAsia" w:ascii="仿宋_GB2312" w:hAnsi="仿宋_GB2312" w:eastAsia="仿宋_GB2312" w:cs="仿宋_GB2312"/>
          <w:color w:val="auto"/>
          <w:w w:val="100"/>
          <w:highlight w:val="none"/>
          <w:lang w:eastAsia="zh-CN"/>
        </w:rPr>
        <w:t>绝</w:t>
      </w:r>
      <w:r>
        <w:rPr>
          <w:rFonts w:hint="eastAsia" w:ascii="仿宋_GB2312" w:hAnsi="仿宋_GB2312" w:eastAsia="仿宋_GB2312" w:cs="仿宋_GB2312"/>
          <w:color w:val="auto"/>
          <w:spacing w:val="2"/>
          <w:w w:val="100"/>
          <w:highlight w:val="none"/>
          <w:lang w:eastAsia="zh-CN"/>
        </w:rPr>
        <w:t>对</w:t>
      </w:r>
      <w:r>
        <w:rPr>
          <w:rFonts w:hint="eastAsia" w:ascii="仿宋_GB2312" w:hAnsi="仿宋_GB2312" w:eastAsia="仿宋_GB2312" w:cs="仿宋_GB2312"/>
          <w:color w:val="auto"/>
          <w:w w:val="100"/>
          <w:highlight w:val="none"/>
          <w:lang w:eastAsia="zh-CN"/>
        </w:rPr>
        <w:t>价格</w:t>
      </w:r>
      <w:r>
        <w:rPr>
          <w:rFonts w:hint="eastAsia" w:ascii="仿宋_GB2312" w:hAnsi="仿宋_GB2312" w:eastAsia="仿宋_GB2312" w:cs="仿宋_GB2312"/>
          <w:color w:val="auto"/>
          <w:spacing w:val="2"/>
          <w:w w:val="100"/>
          <w:highlight w:val="none"/>
          <w:lang w:eastAsia="zh-CN"/>
        </w:rPr>
        <w:t>形</w:t>
      </w:r>
      <w:r>
        <w:rPr>
          <w:rFonts w:hint="eastAsia" w:ascii="仿宋_GB2312" w:hAnsi="仿宋_GB2312" w:eastAsia="仿宋_GB2312" w:cs="仿宋_GB2312"/>
          <w:color w:val="auto"/>
          <w:w w:val="100"/>
          <w:highlight w:val="none"/>
          <w:lang w:eastAsia="zh-CN"/>
        </w:rPr>
        <w:t>式。</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（1</w:t>
      </w:r>
      <w:r>
        <w:rPr>
          <w:rFonts w:hint="eastAsia" w:ascii="仿宋_GB2312" w:hAnsi="仿宋_GB2312" w:eastAsia="仿宋_GB2312" w:cs="仿宋_GB2312"/>
          <w:color w:val="auto"/>
          <w:w w:val="100"/>
          <w:highlight w:val="none"/>
          <w:lang w:val="en-US" w:eastAsia="zh-CN"/>
        </w:rPr>
        <w:t>0</w:t>
      </w:r>
      <w:r>
        <w:rPr>
          <w:rFonts w:hint="eastAsia" w:ascii="仿宋_GB2312" w:hAnsi="仿宋_GB2312" w:eastAsia="仿宋_GB2312" w:cs="仿宋_GB2312"/>
          <w:color w:val="auto"/>
          <w:w w:val="100"/>
          <w:highlight w:val="none"/>
          <w:lang w:eastAsia="zh-CN"/>
        </w:rPr>
        <w:t>）分解曲线。指合同电量在合同周期内按照一定比例进行分解的电力特性曲线。</w:t>
      </w:r>
    </w:p>
    <w:p>
      <w:pPr>
        <w:pStyle w:val="7"/>
        <w:pageBreakBefore w:val="0"/>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highlight w:val="none"/>
          <w:lang w:eastAsia="zh-CN"/>
        </w:rPr>
      </w:pPr>
      <w:r>
        <w:rPr>
          <w:rFonts w:hint="eastAsia" w:ascii="仿宋_GB2312" w:hAnsi="仿宋_GB2312" w:eastAsia="仿宋_GB2312" w:cs="仿宋_GB2312"/>
          <w:color w:val="auto"/>
          <w:w w:val="100"/>
          <w:highlight w:val="none"/>
          <w:lang w:eastAsia="zh-CN"/>
        </w:rPr>
        <w:t>（1</w:t>
      </w:r>
      <w:r>
        <w:rPr>
          <w:rFonts w:hint="eastAsia" w:ascii="仿宋_GB2312" w:hAnsi="仿宋_GB2312" w:eastAsia="仿宋_GB2312" w:cs="仿宋_GB2312"/>
          <w:color w:val="auto"/>
          <w:w w:val="100"/>
          <w:highlight w:val="none"/>
          <w:lang w:val="en-US" w:eastAsia="zh-CN"/>
        </w:rPr>
        <w:t>1</w:t>
      </w:r>
      <w:r>
        <w:rPr>
          <w:rFonts w:hint="eastAsia" w:ascii="仿宋_GB2312" w:hAnsi="仿宋_GB2312" w:eastAsia="仿宋_GB2312" w:cs="仿宋_GB2312"/>
          <w:color w:val="auto"/>
          <w:w w:val="100"/>
          <w:highlight w:val="none"/>
          <w:lang w:eastAsia="zh-CN"/>
        </w:rPr>
        <w:t>）跨省中长期</w:t>
      </w:r>
      <w:r>
        <w:rPr>
          <w:rFonts w:hint="eastAsia" w:ascii="仿宋_GB2312" w:hAnsi="仿宋_GB2312" w:eastAsia="仿宋_GB2312" w:cs="仿宋_GB2312"/>
          <w:color w:val="auto"/>
          <w:w w:val="100"/>
          <w:highlight w:val="none"/>
          <w:lang w:val="en-US" w:eastAsia="zh-CN"/>
        </w:rPr>
        <w:t>电能量</w:t>
      </w:r>
      <w:r>
        <w:rPr>
          <w:rFonts w:hint="eastAsia" w:ascii="仿宋_GB2312" w:hAnsi="仿宋_GB2312" w:eastAsia="仿宋_GB2312" w:cs="仿宋_GB2312"/>
          <w:color w:val="auto"/>
          <w:w w:val="100"/>
          <w:highlight w:val="none"/>
          <w:lang w:eastAsia="zh-CN"/>
        </w:rPr>
        <w:t>交易，指跨省优先发电计划和跨省中长期市场化交易。</w:t>
      </w:r>
    </w:p>
    <w:p>
      <w:pPr>
        <w:pStyle w:val="7"/>
        <w:pageBreakBefore w:val="0"/>
        <w:numPr>
          <w:ilvl w:val="255"/>
          <w:numId w:val="0"/>
        </w:numPr>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position w:val="-4"/>
          <w:highlight w:val="none"/>
          <w:lang w:eastAsia="zh-CN"/>
        </w:rPr>
      </w:pPr>
      <w:r>
        <w:rPr>
          <w:rFonts w:ascii="仿宋_GB2312" w:hAnsi="仿宋_GB2312" w:eastAsia="仿宋_GB2312" w:cs="仿宋_GB2312"/>
          <w:color w:val="auto"/>
          <w:w w:val="100"/>
          <w:position w:val="-4"/>
          <w:highlight w:val="none"/>
          <w:lang w:eastAsia="zh-CN"/>
        </w:rPr>
        <w:t>（</w:t>
      </w:r>
      <w:r>
        <w:rPr>
          <w:rFonts w:hint="eastAsia" w:ascii="仿宋_GB2312" w:hAnsi="仿宋_GB2312" w:eastAsia="仿宋_GB2312" w:cs="仿宋_GB2312"/>
          <w:color w:val="auto"/>
          <w:w w:val="100"/>
          <w:position w:val="-4"/>
          <w:highlight w:val="none"/>
          <w:lang w:eastAsia="zh-CN"/>
        </w:rPr>
        <w:t>1</w:t>
      </w:r>
      <w:r>
        <w:rPr>
          <w:rFonts w:hint="eastAsia" w:ascii="仿宋_GB2312" w:hAnsi="仿宋_GB2312" w:eastAsia="仿宋_GB2312" w:cs="仿宋_GB2312"/>
          <w:color w:val="auto"/>
          <w:w w:val="100"/>
          <w:position w:val="-4"/>
          <w:highlight w:val="none"/>
          <w:lang w:val="en-US" w:eastAsia="zh-CN"/>
        </w:rPr>
        <w:t>2</w:t>
      </w:r>
      <w:r>
        <w:rPr>
          <w:rFonts w:ascii="仿宋_GB2312" w:hAnsi="仿宋_GB2312" w:eastAsia="仿宋_GB2312" w:cs="仿宋_GB2312"/>
          <w:color w:val="auto"/>
          <w:w w:val="100"/>
          <w:position w:val="-4"/>
          <w:highlight w:val="none"/>
          <w:lang w:eastAsia="zh-CN"/>
        </w:rPr>
        <w:t>）净合同电量上下限。指</w:t>
      </w:r>
      <w:r>
        <w:rPr>
          <w:rFonts w:hint="eastAsia" w:ascii="仿宋_GB2312" w:hAnsi="仿宋_GB2312" w:eastAsia="仿宋_GB2312" w:cs="仿宋_GB2312"/>
          <w:color w:val="auto"/>
          <w:w w:val="100"/>
          <w:position w:val="-4"/>
          <w:highlight w:val="none"/>
          <w:lang w:eastAsia="zh-CN"/>
        </w:rPr>
        <w:t>经营主体</w:t>
      </w:r>
      <w:r>
        <w:rPr>
          <w:rFonts w:ascii="仿宋_GB2312" w:hAnsi="仿宋_GB2312" w:eastAsia="仿宋_GB2312" w:cs="仿宋_GB2312"/>
          <w:color w:val="auto"/>
          <w:w w:val="100"/>
          <w:position w:val="-4"/>
          <w:highlight w:val="none"/>
          <w:lang w:eastAsia="zh-CN"/>
        </w:rPr>
        <w:t>所交易的标的物在一定周期内合同电量代数和的上下限值。</w:t>
      </w:r>
    </w:p>
    <w:p>
      <w:pPr>
        <w:pStyle w:val="7"/>
        <w:pageBreakBefore w:val="0"/>
        <w:numPr>
          <w:ilvl w:val="255"/>
          <w:numId w:val="0"/>
        </w:numPr>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position w:val="-4"/>
          <w:highlight w:val="none"/>
          <w:lang w:eastAsia="zh-CN"/>
        </w:rPr>
      </w:pPr>
      <w:r>
        <w:rPr>
          <w:rFonts w:ascii="仿宋_GB2312" w:hAnsi="仿宋_GB2312" w:eastAsia="仿宋_GB2312" w:cs="仿宋_GB2312"/>
          <w:color w:val="auto"/>
          <w:w w:val="100"/>
          <w:position w:val="-4"/>
          <w:highlight w:val="none"/>
          <w:lang w:eastAsia="zh-CN"/>
        </w:rPr>
        <w:t>（</w:t>
      </w:r>
      <w:r>
        <w:rPr>
          <w:rFonts w:hint="eastAsia" w:ascii="仿宋_GB2312" w:hAnsi="仿宋_GB2312" w:eastAsia="仿宋_GB2312" w:cs="仿宋_GB2312"/>
          <w:color w:val="auto"/>
          <w:w w:val="100"/>
          <w:position w:val="-4"/>
          <w:highlight w:val="none"/>
          <w:lang w:eastAsia="zh-CN"/>
        </w:rPr>
        <w:t>1</w:t>
      </w:r>
      <w:r>
        <w:rPr>
          <w:rFonts w:hint="eastAsia" w:ascii="仿宋_GB2312" w:hAnsi="仿宋_GB2312" w:eastAsia="仿宋_GB2312" w:cs="仿宋_GB2312"/>
          <w:color w:val="auto"/>
          <w:w w:val="100"/>
          <w:position w:val="-4"/>
          <w:highlight w:val="none"/>
          <w:lang w:val="en-US" w:eastAsia="zh-CN"/>
        </w:rPr>
        <w:t>3</w:t>
      </w:r>
      <w:r>
        <w:rPr>
          <w:rFonts w:ascii="仿宋_GB2312" w:hAnsi="仿宋_GB2312" w:eastAsia="仿宋_GB2312" w:cs="仿宋_GB2312"/>
          <w:color w:val="auto"/>
          <w:w w:val="100"/>
          <w:position w:val="-4"/>
          <w:highlight w:val="none"/>
          <w:lang w:eastAsia="zh-CN"/>
        </w:rPr>
        <w:t>）累计合同电量上下限。指</w:t>
      </w:r>
      <w:r>
        <w:rPr>
          <w:rFonts w:hint="eastAsia" w:ascii="仿宋_GB2312" w:hAnsi="仿宋_GB2312" w:eastAsia="仿宋_GB2312" w:cs="仿宋_GB2312"/>
          <w:color w:val="auto"/>
          <w:w w:val="100"/>
          <w:position w:val="-4"/>
          <w:highlight w:val="none"/>
          <w:lang w:eastAsia="zh-CN"/>
        </w:rPr>
        <w:t>经营主体</w:t>
      </w:r>
      <w:r>
        <w:rPr>
          <w:rFonts w:ascii="仿宋_GB2312" w:hAnsi="仿宋_GB2312" w:eastAsia="仿宋_GB2312" w:cs="仿宋_GB2312"/>
          <w:color w:val="auto"/>
          <w:w w:val="100"/>
          <w:position w:val="-4"/>
          <w:highlight w:val="none"/>
          <w:lang w:eastAsia="zh-CN"/>
        </w:rPr>
        <w:t>买入和卖出的标的物在一定周期内合同电量绝对值之和的上下限值。</w:t>
      </w:r>
    </w:p>
    <w:p>
      <w:pPr>
        <w:pStyle w:val="7"/>
        <w:pageBreakBefore w:val="0"/>
        <w:numPr>
          <w:ilvl w:val="255"/>
          <w:numId w:val="0"/>
        </w:numPr>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color w:val="auto"/>
          <w:w w:val="100"/>
          <w:position w:val="-4"/>
          <w:highlight w:val="none"/>
          <w:lang w:eastAsia="zh-CN"/>
        </w:rPr>
      </w:pPr>
      <w:r>
        <w:rPr>
          <w:rFonts w:hint="eastAsia" w:ascii="仿宋_GB2312" w:hAnsi="仿宋_GB2312" w:eastAsia="仿宋_GB2312" w:cs="仿宋_GB2312"/>
          <w:color w:val="auto"/>
          <w:w w:val="100"/>
          <w:position w:val="-4"/>
          <w:highlight w:val="none"/>
          <w:lang w:eastAsia="zh-CN"/>
        </w:rPr>
        <w:t>（1</w:t>
      </w:r>
      <w:r>
        <w:rPr>
          <w:rFonts w:hint="eastAsia" w:ascii="仿宋_GB2312" w:hAnsi="仿宋_GB2312" w:eastAsia="仿宋_GB2312" w:cs="仿宋_GB2312"/>
          <w:color w:val="auto"/>
          <w:w w:val="100"/>
          <w:position w:val="-4"/>
          <w:highlight w:val="none"/>
          <w:lang w:val="en-US" w:eastAsia="zh-CN"/>
        </w:rPr>
        <w:t>4</w:t>
      </w:r>
      <w:r>
        <w:rPr>
          <w:rFonts w:hint="eastAsia" w:ascii="仿宋_GB2312" w:hAnsi="仿宋_GB2312" w:eastAsia="仿宋_GB2312" w:cs="仿宋_GB2312"/>
          <w:color w:val="auto"/>
          <w:w w:val="100"/>
          <w:position w:val="-4"/>
          <w:highlight w:val="none"/>
          <w:lang w:eastAsia="zh-CN"/>
        </w:rPr>
        <w:t>）</w:t>
      </w:r>
      <w:r>
        <w:rPr>
          <w:rFonts w:ascii="仿宋_GB2312" w:hAnsi="仿宋_GB2312" w:eastAsia="仿宋_GB2312" w:cs="仿宋_GB2312"/>
          <w:color w:val="auto"/>
          <w:w w:val="100"/>
          <w:position w:val="-4"/>
          <w:highlight w:val="none"/>
          <w:lang w:eastAsia="zh-CN"/>
        </w:rPr>
        <w:t>可申报电量额度。指</w:t>
      </w:r>
      <w:r>
        <w:rPr>
          <w:rFonts w:hint="eastAsia" w:ascii="仿宋_GB2312" w:hAnsi="仿宋_GB2312" w:eastAsia="仿宋_GB2312" w:cs="仿宋_GB2312"/>
          <w:color w:val="auto"/>
          <w:w w:val="100"/>
          <w:position w:val="-4"/>
          <w:highlight w:val="none"/>
          <w:lang w:eastAsia="zh-CN"/>
        </w:rPr>
        <w:t>经营主体</w:t>
      </w:r>
      <w:r>
        <w:rPr>
          <w:rFonts w:ascii="仿宋_GB2312" w:hAnsi="仿宋_GB2312" w:eastAsia="仿宋_GB2312" w:cs="仿宋_GB2312"/>
          <w:color w:val="auto"/>
          <w:w w:val="100"/>
          <w:position w:val="-4"/>
          <w:highlight w:val="none"/>
          <w:lang w:eastAsia="zh-CN"/>
        </w:rPr>
        <w:t>参加中长期交易时可申报交易电量的额度，该额度按不同交易品种、不同交易标的分别计算。</w:t>
      </w:r>
    </w:p>
    <w:p>
      <w:pPr>
        <w:pStyle w:val="7"/>
        <w:pageBreakBefore w:val="0"/>
        <w:numPr>
          <w:ilvl w:val="255"/>
          <w:numId w:val="0"/>
        </w:numPr>
        <w:kinsoku/>
        <w:wordWrap/>
        <w:overflowPunct/>
        <w:topLinePunct w:val="0"/>
        <w:autoSpaceDE/>
        <w:autoSpaceDN/>
        <w:bidi w:val="0"/>
        <w:adjustRightInd/>
        <w:spacing w:line="560" w:lineRule="exact"/>
        <w:ind w:left="0" w:right="0" w:firstLine="640" w:firstLineChars="200"/>
        <w:jc w:val="both"/>
        <w:textAlignment w:val="auto"/>
        <w:rPr>
          <w:rFonts w:ascii="仿宋_GB2312" w:hAnsi="仿宋_GB2312" w:eastAsia="仿宋_GB2312" w:cs="仿宋_GB2312"/>
          <w:b/>
          <w:bCs/>
          <w:color w:val="auto"/>
          <w:spacing w:val="1"/>
          <w:w w:val="100"/>
          <w:highlight w:val="none"/>
          <w:lang w:eastAsia="zh-CN"/>
        </w:rPr>
      </w:pPr>
      <w:r>
        <w:rPr>
          <w:rFonts w:ascii="仿宋_GB2312" w:hAnsi="仿宋_GB2312" w:eastAsia="仿宋_GB2312" w:cs="仿宋_GB2312"/>
          <w:color w:val="auto"/>
          <w:w w:val="100"/>
          <w:position w:val="-4"/>
          <w:highlight w:val="none"/>
          <w:lang w:eastAsia="zh-CN"/>
        </w:rPr>
        <w:t>（</w:t>
      </w:r>
      <w:r>
        <w:rPr>
          <w:rFonts w:hint="eastAsia" w:ascii="仿宋_GB2312" w:hAnsi="仿宋_GB2312" w:eastAsia="仿宋_GB2312" w:cs="仿宋_GB2312"/>
          <w:color w:val="auto"/>
          <w:w w:val="100"/>
          <w:position w:val="-4"/>
          <w:highlight w:val="none"/>
          <w:lang w:eastAsia="zh-CN"/>
        </w:rPr>
        <w:t>1</w:t>
      </w:r>
      <w:r>
        <w:rPr>
          <w:rFonts w:hint="eastAsia" w:ascii="仿宋_GB2312" w:hAnsi="仿宋_GB2312" w:eastAsia="仿宋_GB2312" w:cs="仿宋_GB2312"/>
          <w:color w:val="auto"/>
          <w:w w:val="100"/>
          <w:position w:val="-4"/>
          <w:highlight w:val="none"/>
          <w:lang w:val="en-US" w:eastAsia="zh-CN"/>
        </w:rPr>
        <w:t>5</w:t>
      </w:r>
      <w:r>
        <w:rPr>
          <w:rFonts w:ascii="仿宋_GB2312" w:hAnsi="仿宋_GB2312" w:eastAsia="仿宋_GB2312" w:cs="仿宋_GB2312"/>
          <w:color w:val="auto"/>
          <w:w w:val="100"/>
          <w:position w:val="-4"/>
          <w:highlight w:val="none"/>
          <w:lang w:eastAsia="zh-CN"/>
        </w:rPr>
        <w:t>）交易系统。指南方区域统一电力交易平台</w:t>
      </w:r>
    </w:p>
    <w:sectPr>
      <w:headerReference r:id="rId4" w:type="default"/>
      <w:footerReference r:id="rId5" w:type="default"/>
      <w:pgSz w:w="11906" w:h="16840"/>
      <w:pgMar w:top="2098" w:right="1474" w:bottom="1984" w:left="1587" w:header="85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939CAB-DF32-4F46-B5CD-41C23EB5F1C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F1CE60E6-7EB0-4309-A4A4-A426CE2035EB}"/>
  </w:font>
  <w:font w:name="华文仿宋">
    <w:altName w:val="仿宋"/>
    <w:panose1 w:val="02010600040101010101"/>
    <w:charset w:val="86"/>
    <w:family w:val="auto"/>
    <w:pitch w:val="default"/>
    <w:sig w:usb0="00000000" w:usb1="00000000" w:usb2="00000000" w:usb3="00000000" w:csb0="0004009F" w:csb1="DFD70000"/>
  </w:font>
  <w:font w:name="等线 Light">
    <w:altName w:val="宋体"/>
    <w:panose1 w:val="02010600030101010101"/>
    <w:charset w:val="86"/>
    <w:family w:val="auto"/>
    <w:pitch w:val="default"/>
    <w:sig w:usb0="00000000" w:usb1="00000000" w:usb2="00000016" w:usb3="00000000" w:csb0="0004000F" w:csb1="00000000"/>
  </w:font>
  <w:font w:name="方正小标宋_GBK">
    <w:panose1 w:val="03000509000000000000"/>
    <w:charset w:val="86"/>
    <w:family w:val="auto"/>
    <w:pitch w:val="default"/>
    <w:sig w:usb0="00000001" w:usb1="080E0000" w:usb2="00000000" w:usb3="00000000" w:csb0="00040000" w:csb1="00000000"/>
    <w:embedRegular r:id="rId3" w:fontKey="{27745BBC-4089-4254-BC34-CA7E447374A5}"/>
  </w:font>
  <w:font w:name="楷体_GB2312">
    <w:panose1 w:val="02010609030101010101"/>
    <w:charset w:val="86"/>
    <w:family w:val="auto"/>
    <w:pitch w:val="default"/>
    <w:sig w:usb0="00000001" w:usb1="080E0000" w:usb2="00000000" w:usb3="00000000" w:csb0="00040000" w:csb1="00000000"/>
    <w:embedRegular r:id="rId4" w:fontKey="{3C0207ED-CA04-4BED-8D9E-6CBAFDE6A458}"/>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jc w:val="center"/>
      <w:rPr>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2"/>
        <w:snapToGrid w:val="0"/>
        <w:rPr>
          <w:rFonts w:hint="default" w:eastAsia="宋体"/>
          <w:lang w:val="en-US" w:eastAsia="zh-CN"/>
        </w:rPr>
      </w:pPr>
      <w:r>
        <w:rPr>
          <w:rStyle w:val="16"/>
        </w:rPr>
        <w:footnoteRef/>
      </w:r>
      <w:r>
        <w:t xml:space="preserve"> </w:t>
      </w:r>
      <w:r>
        <w:rPr>
          <w:rFonts w:hint="eastAsia" w:eastAsia="宋体"/>
          <w:lang w:val="en-US" w:eastAsia="zh-CN"/>
        </w:rPr>
        <w:t>为保障电力供应和电网安全运行，调度机构可依据实际情况，设置发电机组最小发电能力，若未设置，默认为零，下同。</w:t>
      </w:r>
    </w:p>
  </w:footnote>
  <w:footnote w:id="1">
    <w:p>
      <w:pPr>
        <w:pStyle w:val="12"/>
        <w:snapToGrid w:val="0"/>
      </w:pPr>
      <w:r>
        <w:rPr>
          <w:rStyle w:val="16"/>
        </w:rPr>
        <w:footnoteRef/>
      </w:r>
      <w:r>
        <w:t xml:space="preserve"> </w:t>
      </w:r>
      <w:r>
        <w:rPr>
          <w:rFonts w:hint="eastAsia" w:ascii="仿宋_GB2312" w:hAnsi="仿宋_GB2312" w:eastAsia="仿宋_GB2312" w:cs="仿宋_GB2312"/>
          <w:w w:val="95"/>
          <w:lang w:eastAsia="zh-CN"/>
        </w:rPr>
        <w:t>剩余最大发电能力=调度机构发布的最大发电能力-合同电量净值。</w:t>
      </w:r>
    </w:p>
  </w:footnote>
  <w:footnote w:id="2">
    <w:p>
      <w:pPr>
        <w:pStyle w:val="12"/>
        <w:snapToGrid w:val="0"/>
      </w:pPr>
      <w:r>
        <w:rPr>
          <w:rStyle w:val="16"/>
        </w:rPr>
        <w:footnoteRef/>
      </w:r>
      <w:r>
        <w:t xml:space="preserve"> </w:t>
      </w:r>
      <w:r>
        <w:rPr>
          <w:rFonts w:hint="eastAsia" w:ascii="仿宋_GB2312" w:hAnsi="仿宋_GB2312" w:eastAsia="仿宋_GB2312" w:cs="仿宋_GB2312"/>
          <w:lang w:val="en-US" w:eastAsia="zh-CN"/>
        </w:rPr>
        <w:t>电力</w:t>
      </w:r>
      <w:r>
        <w:rPr>
          <w:rFonts w:hint="eastAsia" w:ascii="仿宋_GB2312" w:hAnsi="仿宋_GB2312" w:eastAsia="仿宋_GB2312" w:cs="仿宋_GB2312"/>
          <w:w w:val="95"/>
          <w:lang w:val="en-US" w:eastAsia="zh-CN"/>
        </w:rPr>
        <w:t>批发用户</w:t>
      </w:r>
      <w:r>
        <w:rPr>
          <w:rFonts w:hint="eastAsia" w:ascii="仿宋_GB2312" w:hAnsi="仿宋_GB2312" w:eastAsia="仿宋_GB2312" w:cs="仿宋_GB2312"/>
          <w:w w:val="95"/>
          <w:lang w:eastAsia="zh-CN"/>
        </w:rPr>
        <w:t>剩余可交易电量额度=</w:t>
      </w:r>
      <w:r>
        <w:rPr>
          <w:rFonts w:hint="eastAsia" w:ascii="仿宋_GB2312" w:hAnsi="仿宋_GB2312" w:eastAsia="仿宋_GB2312" w:cs="仿宋_GB2312"/>
          <w:w w:val="95"/>
          <w:lang w:val="en-US" w:eastAsia="zh-CN"/>
        </w:rPr>
        <w:t>合同电量净值上限</w:t>
      </w:r>
      <w:r>
        <w:rPr>
          <w:rFonts w:hint="eastAsia" w:ascii="仿宋_GB2312" w:hAnsi="仿宋_GB2312" w:eastAsia="仿宋_GB2312" w:cs="仿宋_GB2312"/>
          <w:w w:val="95"/>
          <w:lang w:eastAsia="zh-CN"/>
        </w:rPr>
        <w:t>-合同电量净值。</w:t>
      </w:r>
    </w:p>
  </w:footnote>
  <w:footnote w:id="3">
    <w:p>
      <w:pPr>
        <w:pStyle w:val="12"/>
        <w:snapToGrid w:val="0"/>
      </w:pPr>
      <w:r>
        <w:rPr>
          <w:rStyle w:val="16"/>
        </w:rPr>
        <w:footnoteRef/>
      </w:r>
      <w:r>
        <w:t xml:space="preserve"> </w:t>
      </w:r>
      <w:r>
        <w:rPr>
          <w:rFonts w:hint="eastAsia" w:ascii="仿宋_GB2312" w:hAnsi="仿宋_GB2312" w:eastAsia="仿宋_GB2312" w:cs="仿宋_GB2312"/>
          <w:w w:val="95"/>
          <w:lang w:eastAsia="zh-CN"/>
        </w:rPr>
        <w:t>售电公司剩余可交易电量额度=</w:t>
      </w:r>
      <w:r>
        <w:rPr>
          <w:rFonts w:hint="eastAsia" w:ascii="仿宋_GB2312" w:hAnsi="仿宋_GB2312" w:eastAsia="仿宋_GB2312" w:cs="仿宋_GB2312"/>
          <w:w w:val="95"/>
          <w:lang w:val="en-US" w:eastAsia="zh-CN"/>
        </w:rPr>
        <w:t>合同电量净值上限</w:t>
      </w:r>
      <w:r>
        <w:rPr>
          <w:rFonts w:hint="eastAsia" w:ascii="仿宋_GB2312" w:hAnsi="仿宋_GB2312" w:eastAsia="仿宋_GB2312" w:cs="仿宋_GB2312"/>
          <w:w w:val="95"/>
          <w:lang w:eastAsia="zh-CN"/>
        </w:rPr>
        <w:t>-合同电量净值。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tabs>
        <w:tab w:val="left" w:pos="8910"/>
      </w:tabs>
      <w:spacing w:line="200" w:lineRule="exact"/>
      <w:rPr>
        <w:sz w:val="20"/>
        <w:szCs w:val="20"/>
      </w:rPr>
    </w:pPr>
    <w:r>
      <mc:AlternateContent>
        <mc:Choice Requires="wps">
          <w:drawing>
            <wp:anchor distT="0" distB="0" distL="0" distR="0" simplePos="0" relativeHeight="251659264" behindDoc="1" locked="0" layoutInCell="1" allowOverlap="1">
              <wp:simplePos x="0" y="0"/>
              <wp:positionH relativeFrom="page">
                <wp:posOffset>1064895</wp:posOffset>
              </wp:positionH>
              <wp:positionV relativeFrom="page">
                <wp:posOffset>506730</wp:posOffset>
              </wp:positionV>
              <wp:extent cx="5436870" cy="189865"/>
              <wp:effectExtent l="0" t="0" r="0" b="0"/>
              <wp:wrapNone/>
              <wp:docPr id="4100" name="文本框 1027"/>
              <wp:cNvGraphicFramePr/>
              <a:graphic xmlns:a="http://schemas.openxmlformats.org/drawingml/2006/main">
                <a:graphicData uri="http://schemas.microsoft.com/office/word/2010/wordprocessingShape">
                  <wps:wsp>
                    <wps:cNvSpPr/>
                    <wps:spPr>
                      <a:xfrm>
                        <a:off x="0" y="0"/>
                        <a:ext cx="5436870" cy="189865"/>
                      </a:xfrm>
                      <a:prstGeom prst="rect">
                        <a:avLst/>
                      </a:prstGeom>
                      <a:ln>
                        <a:noFill/>
                      </a:ln>
                    </wps:spPr>
                    <wps:txbx>
                      <w:txbxContent>
                        <w:p>
                          <w:pPr>
                            <w:jc w:val="center"/>
                            <w:rPr>
                              <w:rFonts w:hint="eastAsia" w:ascii="黑体" w:hAnsi="黑体" w:eastAsia="黑体" w:cs="黑体"/>
                              <w:sz w:val="18"/>
                              <w:szCs w:val="18"/>
                              <w:lang w:val="en-US" w:eastAsia="zh-CN"/>
                            </w:rPr>
                          </w:pPr>
                          <w:r>
                            <w:rPr>
                              <w:rFonts w:hint="eastAsia" w:ascii="黑体" w:hAnsi="黑体" w:eastAsia="黑体" w:cs="黑体"/>
                              <w:sz w:val="18"/>
                              <w:szCs w:val="18"/>
                              <w:lang w:eastAsia="zh-CN"/>
                            </w:rPr>
                            <w:t>海南电力市场中长期电能量交易实施细则（试运行</w:t>
                          </w:r>
                          <w:r>
                            <w:rPr>
                              <w:rFonts w:hint="eastAsia" w:ascii="黑体" w:hAnsi="黑体" w:eastAsia="黑体" w:cs="黑体"/>
                              <w:sz w:val="18"/>
                              <w:szCs w:val="18"/>
                              <w:lang w:val="en-US" w:eastAsia="zh-CN"/>
                            </w:rPr>
                            <w:t>3</w:t>
                          </w:r>
                          <w:r>
                            <w:rPr>
                              <w:rFonts w:hint="eastAsia" w:ascii="黑体" w:hAnsi="黑体" w:eastAsia="黑体" w:cs="黑体"/>
                              <w:sz w:val="18"/>
                              <w:szCs w:val="18"/>
                              <w:lang w:eastAsia="zh-CN"/>
                            </w:rPr>
                            <w:t>.0）版）</w:t>
                          </w:r>
                        </w:p>
                      </w:txbxContent>
                    </wps:txbx>
                    <wps:bodyPr lIns="0" tIns="0" rIns="0" bIns="0" upright="1"/>
                  </wps:wsp>
                </a:graphicData>
              </a:graphic>
            </wp:anchor>
          </w:drawing>
        </mc:Choice>
        <mc:Fallback>
          <w:pict>
            <v:rect id="文本框 1027" o:spid="_x0000_s1026" o:spt="1" style="position:absolute;left:0pt;margin-left:83.85pt;margin-top:39.9pt;height:14.95pt;width:428.1pt;mso-position-horizontal-relative:page;mso-position-vertical-relative:page;z-index:-251657216;mso-width-relative:page;mso-height-relative:page;" filled="f" stroked="f" coordsize="21600,21600" o:gfxdata="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C5KDtnZAAAACwEAAA8AAAAAAAAAAQAgAAAAIgAAAGRycy9kb3ducmV2LnhtbFBLAQIUABQA&#10;AAAIAIdO4kBDKSohtgEAAGMDAAAOAAAAAAAAAAEAIAAAACgBAABkcnMvZTJvRG9jLnhtbFBLBQYA&#10;AAAABgAGAFkBAABQBQAAAAA=&#10;">
              <v:fill on="f" focussize="0,0"/>
              <v:stroke on="f"/>
              <v:imagedata o:title=""/>
              <o:lock v:ext="edit" aspectratio="f"/>
              <v:textbox inset="0mm,0mm,0mm,0mm">
                <w:txbxContent>
                  <w:p>
                    <w:pPr>
                      <w:jc w:val="center"/>
                      <w:rPr>
                        <w:rFonts w:hint="eastAsia" w:ascii="黑体" w:hAnsi="黑体" w:eastAsia="黑体" w:cs="黑体"/>
                        <w:sz w:val="18"/>
                        <w:szCs w:val="18"/>
                        <w:lang w:val="en-US" w:eastAsia="zh-CN"/>
                      </w:rPr>
                    </w:pPr>
                    <w:r>
                      <w:rPr>
                        <w:rFonts w:hint="eastAsia" w:ascii="黑体" w:hAnsi="黑体" w:eastAsia="黑体" w:cs="黑体"/>
                        <w:sz w:val="18"/>
                        <w:szCs w:val="18"/>
                        <w:lang w:eastAsia="zh-CN"/>
                      </w:rPr>
                      <w:t>海南电力市场中长期电能量交易实施细则（试运行</w:t>
                    </w:r>
                    <w:r>
                      <w:rPr>
                        <w:rFonts w:hint="eastAsia" w:ascii="黑体" w:hAnsi="黑体" w:eastAsia="黑体" w:cs="黑体"/>
                        <w:sz w:val="18"/>
                        <w:szCs w:val="18"/>
                        <w:lang w:val="en-US" w:eastAsia="zh-CN"/>
                      </w:rPr>
                      <w:t>3</w:t>
                    </w:r>
                    <w:r>
                      <w:rPr>
                        <w:rFonts w:hint="eastAsia" w:ascii="黑体" w:hAnsi="黑体" w:eastAsia="黑体" w:cs="黑体"/>
                        <w:sz w:val="18"/>
                        <w:szCs w:val="18"/>
                        <w:lang w:eastAsia="zh-CN"/>
                      </w:rPr>
                      <w:t>.0）版）</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revisionView w:markup="0"/>
  <w:documentProtection w:enforcement="0"/>
  <w:defaultTabStop w:val="720"/>
  <w:drawingGridHorizontalSpacing w:val="110"/>
  <w:noPunctuationKerning w:val="1"/>
  <w:characterSpacingControl w:val="doNotCompress"/>
  <w:footnotePr>
    <w:footnote w:id="8"/>
    <w:footnote w:id="9"/>
  </w:foot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5ZGQ5NGQ0NDQ4ODk3YzY1ZTNmN2MyYzhiZTdiOWEifQ=="/>
  </w:docVars>
  <w:rsids>
    <w:rsidRoot w:val="00E101CE"/>
    <w:rsid w:val="001C1F51"/>
    <w:rsid w:val="0028760B"/>
    <w:rsid w:val="0040557A"/>
    <w:rsid w:val="008F08E7"/>
    <w:rsid w:val="00A74A7F"/>
    <w:rsid w:val="00BD5310"/>
    <w:rsid w:val="00DD4680"/>
    <w:rsid w:val="00E01DC9"/>
    <w:rsid w:val="00E101CE"/>
    <w:rsid w:val="01211AD4"/>
    <w:rsid w:val="02A12A14"/>
    <w:rsid w:val="02CE3596"/>
    <w:rsid w:val="02F2197A"/>
    <w:rsid w:val="03604D65"/>
    <w:rsid w:val="049D0000"/>
    <w:rsid w:val="04EA7480"/>
    <w:rsid w:val="05340028"/>
    <w:rsid w:val="074107DA"/>
    <w:rsid w:val="07E801F2"/>
    <w:rsid w:val="080674B8"/>
    <w:rsid w:val="09C86F91"/>
    <w:rsid w:val="09F22CAC"/>
    <w:rsid w:val="0A534D84"/>
    <w:rsid w:val="0B7030D5"/>
    <w:rsid w:val="0BD75BB1"/>
    <w:rsid w:val="0C372AD2"/>
    <w:rsid w:val="0D39221F"/>
    <w:rsid w:val="0E7B78BC"/>
    <w:rsid w:val="0EF8667C"/>
    <w:rsid w:val="0F6A739E"/>
    <w:rsid w:val="0FFF6D8A"/>
    <w:rsid w:val="10D71254"/>
    <w:rsid w:val="11ED0741"/>
    <w:rsid w:val="12585E42"/>
    <w:rsid w:val="1497412F"/>
    <w:rsid w:val="14E46C49"/>
    <w:rsid w:val="1606281C"/>
    <w:rsid w:val="1606422D"/>
    <w:rsid w:val="196907AC"/>
    <w:rsid w:val="199B1FCC"/>
    <w:rsid w:val="1AF235BC"/>
    <w:rsid w:val="1B710E23"/>
    <w:rsid w:val="1BDE0C6E"/>
    <w:rsid w:val="1D027491"/>
    <w:rsid w:val="1EBA2EF4"/>
    <w:rsid w:val="1F9D7F93"/>
    <w:rsid w:val="20B02A1F"/>
    <w:rsid w:val="214775E8"/>
    <w:rsid w:val="22361E39"/>
    <w:rsid w:val="22645019"/>
    <w:rsid w:val="23D0245B"/>
    <w:rsid w:val="24360CAA"/>
    <w:rsid w:val="24790BFE"/>
    <w:rsid w:val="24816F73"/>
    <w:rsid w:val="25495220"/>
    <w:rsid w:val="26AD77E2"/>
    <w:rsid w:val="272A30A8"/>
    <w:rsid w:val="27615A99"/>
    <w:rsid w:val="28E32528"/>
    <w:rsid w:val="294A756A"/>
    <w:rsid w:val="29946919"/>
    <w:rsid w:val="29B42735"/>
    <w:rsid w:val="29BD57A5"/>
    <w:rsid w:val="29CD455B"/>
    <w:rsid w:val="2A0E782C"/>
    <w:rsid w:val="2A4E6BE6"/>
    <w:rsid w:val="2BDC15BB"/>
    <w:rsid w:val="2BE8639A"/>
    <w:rsid w:val="2EA94D33"/>
    <w:rsid w:val="2EB5408F"/>
    <w:rsid w:val="2F573E95"/>
    <w:rsid w:val="2FBD37AE"/>
    <w:rsid w:val="2FFD025D"/>
    <w:rsid w:val="301A663B"/>
    <w:rsid w:val="30BB7EF6"/>
    <w:rsid w:val="30F24C4E"/>
    <w:rsid w:val="314E482F"/>
    <w:rsid w:val="315B5F86"/>
    <w:rsid w:val="31682AFC"/>
    <w:rsid w:val="35650407"/>
    <w:rsid w:val="35B0360A"/>
    <w:rsid w:val="35BB3C86"/>
    <w:rsid w:val="363E0457"/>
    <w:rsid w:val="36570D3D"/>
    <w:rsid w:val="36DB124B"/>
    <w:rsid w:val="36EF0528"/>
    <w:rsid w:val="37032F4E"/>
    <w:rsid w:val="37A75B88"/>
    <w:rsid w:val="38C3091E"/>
    <w:rsid w:val="3AC73EF6"/>
    <w:rsid w:val="3B247C1B"/>
    <w:rsid w:val="3C5B1D35"/>
    <w:rsid w:val="3C8B3CCA"/>
    <w:rsid w:val="3D0C0967"/>
    <w:rsid w:val="3DEE2762"/>
    <w:rsid w:val="3E4B011D"/>
    <w:rsid w:val="3E6C75EB"/>
    <w:rsid w:val="3FC5312E"/>
    <w:rsid w:val="40606AC4"/>
    <w:rsid w:val="40927A26"/>
    <w:rsid w:val="4172362D"/>
    <w:rsid w:val="418F2944"/>
    <w:rsid w:val="425B1F47"/>
    <w:rsid w:val="43051679"/>
    <w:rsid w:val="43B6162D"/>
    <w:rsid w:val="43C274A4"/>
    <w:rsid w:val="443F2A42"/>
    <w:rsid w:val="448F7480"/>
    <w:rsid w:val="46737CA9"/>
    <w:rsid w:val="467F7B4A"/>
    <w:rsid w:val="48341755"/>
    <w:rsid w:val="48B74ED1"/>
    <w:rsid w:val="490703AF"/>
    <w:rsid w:val="493B16E1"/>
    <w:rsid w:val="4B357CF4"/>
    <w:rsid w:val="4CA624DB"/>
    <w:rsid w:val="4CE92A73"/>
    <w:rsid w:val="4D564FE7"/>
    <w:rsid w:val="4D94754F"/>
    <w:rsid w:val="4E531177"/>
    <w:rsid w:val="4E7959E6"/>
    <w:rsid w:val="4E902FD9"/>
    <w:rsid w:val="5162604F"/>
    <w:rsid w:val="52592449"/>
    <w:rsid w:val="526D7E6C"/>
    <w:rsid w:val="52C11701"/>
    <w:rsid w:val="53B13E27"/>
    <w:rsid w:val="53BD14E1"/>
    <w:rsid w:val="53F42EC5"/>
    <w:rsid w:val="55B6370E"/>
    <w:rsid w:val="566A6BC7"/>
    <w:rsid w:val="56AA76E3"/>
    <w:rsid w:val="578E5FF8"/>
    <w:rsid w:val="588A4E38"/>
    <w:rsid w:val="58C9604D"/>
    <w:rsid w:val="5ADC7AAD"/>
    <w:rsid w:val="5BE904F7"/>
    <w:rsid w:val="5C3F18B5"/>
    <w:rsid w:val="5C6B4A50"/>
    <w:rsid w:val="5D46181B"/>
    <w:rsid w:val="60C9350C"/>
    <w:rsid w:val="618B4B7B"/>
    <w:rsid w:val="61C041BB"/>
    <w:rsid w:val="61F4645C"/>
    <w:rsid w:val="62083543"/>
    <w:rsid w:val="622B51E0"/>
    <w:rsid w:val="65E30D95"/>
    <w:rsid w:val="66C11F13"/>
    <w:rsid w:val="67727F9A"/>
    <w:rsid w:val="67732C3D"/>
    <w:rsid w:val="68410F45"/>
    <w:rsid w:val="68AC0B0C"/>
    <w:rsid w:val="693E2807"/>
    <w:rsid w:val="694F16A5"/>
    <w:rsid w:val="69BA2F2E"/>
    <w:rsid w:val="6A956211"/>
    <w:rsid w:val="6ACE65A7"/>
    <w:rsid w:val="6AEC21AC"/>
    <w:rsid w:val="6B44577F"/>
    <w:rsid w:val="6B776939"/>
    <w:rsid w:val="6BC332B0"/>
    <w:rsid w:val="6C461149"/>
    <w:rsid w:val="6D396CA7"/>
    <w:rsid w:val="6E6A519F"/>
    <w:rsid w:val="6E6F0A3A"/>
    <w:rsid w:val="6F6C06D6"/>
    <w:rsid w:val="6F936542"/>
    <w:rsid w:val="70042156"/>
    <w:rsid w:val="70C6565B"/>
    <w:rsid w:val="72324313"/>
    <w:rsid w:val="72FE3651"/>
    <w:rsid w:val="747549F0"/>
    <w:rsid w:val="75043A9D"/>
    <w:rsid w:val="75616D9B"/>
    <w:rsid w:val="7AB94EFD"/>
    <w:rsid w:val="7B69188A"/>
    <w:rsid w:val="7D24336D"/>
    <w:rsid w:val="7D3F7051"/>
    <w:rsid w:val="7E833707"/>
    <w:rsid w:val="7E8F4979"/>
    <w:rsid w:val="7EC60C5F"/>
    <w:rsid w:val="7F195871"/>
    <w:rsid w:val="7F427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Calibri" w:hAnsi="Calibri" w:eastAsia="Calibri" w:cs="宋体"/>
      <w:sz w:val="22"/>
      <w:szCs w:val="22"/>
      <w:lang w:val="en-US" w:eastAsia="en-US" w:bidi="ar-SA"/>
    </w:rPr>
  </w:style>
  <w:style w:type="paragraph" w:styleId="3">
    <w:name w:val="heading 2"/>
    <w:basedOn w:val="1"/>
    <w:next w:val="1"/>
    <w:qFormat/>
    <w:uiPriority w:val="0"/>
    <w:pPr>
      <w:keepNext/>
      <w:keepLines/>
      <w:spacing w:before="260" w:after="260" w:line="416" w:lineRule="auto"/>
      <w:outlineLvl w:val="1"/>
    </w:pPr>
    <w:rPr>
      <w:rFonts w:ascii="Cambria" w:hAnsi="Cambria" w:eastAsia="宋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1"/>
    <w:pPr>
      <w:spacing w:before="43"/>
      <w:ind w:left="1100" w:hanging="420"/>
    </w:pPr>
    <w:rPr>
      <w:sz w:val="21"/>
      <w:szCs w:val="21"/>
    </w:rPr>
  </w:style>
  <w:style w:type="paragraph" w:styleId="5">
    <w:name w:val="Normal Indent"/>
    <w:basedOn w:val="1"/>
    <w:qFormat/>
    <w:uiPriority w:val="0"/>
    <w:pPr>
      <w:ind w:firstLine="624"/>
      <w:jc w:val="left"/>
    </w:pPr>
    <w:rPr>
      <w:rFonts w:eastAsia="仿宋_GB2312"/>
    </w:rPr>
  </w:style>
  <w:style w:type="paragraph" w:styleId="6">
    <w:name w:val="annotation text"/>
    <w:basedOn w:val="1"/>
    <w:qFormat/>
    <w:uiPriority w:val="0"/>
  </w:style>
  <w:style w:type="paragraph" w:styleId="7">
    <w:name w:val="Body Text"/>
    <w:basedOn w:val="1"/>
    <w:next w:val="8"/>
    <w:qFormat/>
    <w:uiPriority w:val="1"/>
    <w:pPr>
      <w:ind w:left="120"/>
    </w:pPr>
    <w:rPr>
      <w:rFonts w:ascii="华文仿宋" w:hAnsi="华文仿宋" w:eastAsia="华文仿宋"/>
      <w:sz w:val="32"/>
      <w:szCs w:val="32"/>
    </w:rPr>
  </w:style>
  <w:style w:type="paragraph" w:styleId="8">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styleId="9">
    <w:name w:val="Plain Text"/>
    <w:basedOn w:val="1"/>
    <w:qFormat/>
    <w:uiPriority w:val="0"/>
    <w:rPr>
      <w:rFonts w:ascii="宋体" w:hAnsi="Courier New"/>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footnote text"/>
    <w:basedOn w:val="1"/>
    <w:qFormat/>
    <w:uiPriority w:val="0"/>
    <w:pPr>
      <w:snapToGrid w:val="0"/>
      <w:jc w:val="left"/>
    </w:pPr>
    <w:rPr>
      <w:sz w:val="18"/>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6">
    <w:name w:val="footnote reference"/>
    <w:basedOn w:val="15"/>
    <w:qFormat/>
    <w:uiPriority w:val="0"/>
    <w:rPr>
      <w:vertAlign w:val="superscript"/>
    </w:rPr>
  </w:style>
  <w:style w:type="table" w:customStyle="1" w:styleId="17">
    <w:name w:val="Table Normal_0"/>
    <w:qFormat/>
    <w:uiPriority w:val="2"/>
    <w:tblPr>
      <w:tblCellMar>
        <w:top w:w="0" w:type="dxa"/>
        <w:left w:w="0" w:type="dxa"/>
        <w:bottom w:w="0" w:type="dxa"/>
        <w:right w:w="0" w:type="dxa"/>
      </w:tblCellMar>
    </w:tblPr>
  </w:style>
  <w:style w:type="paragraph" w:customStyle="1" w:styleId="18">
    <w:name w:val="List Paragraph_8a44d64e-8b02-4b8e-a874-20f85d9fef02"/>
    <w:basedOn w:val="1"/>
    <w:qFormat/>
    <w:uiPriority w:val="1"/>
  </w:style>
  <w:style w:type="paragraph" w:customStyle="1" w:styleId="19">
    <w:name w:val="Table Paragraph"/>
    <w:basedOn w:val="1"/>
    <w:qFormat/>
    <w:uiPriority w:val="1"/>
  </w:style>
  <w:style w:type="paragraph" w:customStyle="1" w:styleId="20">
    <w:name w:val="样式16"/>
    <w:basedOn w:val="21"/>
    <w:qFormat/>
    <w:uiPriority w:val="0"/>
    <w:rPr>
      <w:color w:val="000000"/>
    </w:rPr>
  </w:style>
  <w:style w:type="paragraph" w:customStyle="1" w:styleId="21">
    <w:name w:val="正文1"/>
    <w:qFormat/>
    <w:uiPriority w:val="0"/>
    <w:pPr>
      <w:ind w:firstLine="640"/>
    </w:pPr>
    <w:rPr>
      <w:rFonts w:ascii="仿宋_GB2312" w:hAnsi="Calibri" w:eastAsia="仿宋_GB2312" w:cs="宋体"/>
      <w:sz w:val="32"/>
      <w:szCs w:val="32"/>
      <w:lang w:val="en-US" w:eastAsia="zh-CN" w:bidi="ar-SA"/>
    </w:rPr>
  </w:style>
  <w:style w:type="paragraph" w:customStyle="1" w:styleId="22">
    <w:name w:val="WPSOffice手动目录 1"/>
    <w:qFormat/>
    <w:uiPriority w:val="0"/>
    <w:rPr>
      <w:rFonts w:ascii="Calibri" w:hAnsi="Calibri" w:eastAsia="宋体" w:cs="Times New Roman"/>
      <w:lang w:val="en-US" w:eastAsia="zh-CN" w:bidi="ar-SA"/>
    </w:rPr>
  </w:style>
  <w:style w:type="paragraph" w:customStyle="1" w:styleId="23">
    <w:name w:val="Revision"/>
    <w:hidden/>
    <w:unhideWhenUsed/>
    <w:qFormat/>
    <w:uiPriority w:val="99"/>
    <w:rPr>
      <w:rFonts w:ascii="Calibri" w:hAnsi="Calibri" w:eastAsia="Calibri" w:cs="宋体"/>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5448</Words>
  <Characters>5799</Characters>
  <Lines>113</Lines>
  <Paragraphs>32</Paragraphs>
  <TotalTime>322</TotalTime>
  <ScaleCrop>false</ScaleCrop>
  <LinksUpToDate>false</LinksUpToDate>
  <CharactersWithSpaces>5801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2022-03-21T12:17:00Z</dcterms:created>
  <dc:creator>陈文超</dc:creator>
  <cp:lastModifiedBy>交易中心文书</cp:lastModifiedBy>
  <cp:lastPrinted>2023-12-21T11:45:00Z</cp:lastPrinted>
  <dcterms:modified xsi:type="dcterms:W3CDTF">2025-03-21T06:32:54Z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ICV">
    <vt:lpwstr>F4558899A0924CD4B38E4B7BE5A994F6</vt:lpwstr>
  </property>
  <property fmtid="{D5CDD505-2E9C-101B-9397-08002B2CF9AE}" pid="4" name="KSOProductBuildVer">
    <vt:lpwstr>2052-11.8.2.12085</vt:lpwstr>
  </property>
  <property fmtid="{D5CDD505-2E9C-101B-9397-08002B2CF9AE}" pid="5" name="LastSaved">
    <vt:filetime>2022-03-21T00:00:00Z</vt:filetime>
  </property>
</Properties>
</file>